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ascii="微软雅黑" w:hAnsi="微软雅黑" w:eastAsia="微软雅黑" w:cs="微软雅黑"/>
          <w:sz w:val="72"/>
          <w:szCs w:val="72"/>
        </w:rPr>
      </w:pPr>
      <w:bookmarkStart w:id="0" w:name="_Toc17549"/>
    </w:p>
    <w:p>
      <w:pPr>
        <w:jc w:val="center"/>
        <w:outlineLvl w:val="0"/>
        <w:rPr>
          <w:rFonts w:ascii="微软雅黑" w:hAnsi="微软雅黑" w:eastAsia="微软雅黑" w:cs="微软雅黑"/>
          <w:sz w:val="72"/>
          <w:szCs w:val="72"/>
        </w:rPr>
      </w:pPr>
    </w:p>
    <w:p>
      <w:pPr>
        <w:jc w:val="center"/>
        <w:outlineLvl w:val="0"/>
        <w:rPr>
          <w:rFonts w:hint="eastAsia" w:ascii="方正小标宋简体" w:hAnsi="微软雅黑" w:eastAsia="方正小标宋简体" w:cs="微软雅黑"/>
          <w:sz w:val="52"/>
          <w:szCs w:val="52"/>
        </w:rPr>
      </w:pPr>
      <w:bookmarkStart w:id="1" w:name="_Toc24138"/>
      <w:bookmarkStart w:id="2" w:name="_Toc29523"/>
      <w:bookmarkStart w:id="3" w:name="_Toc29553"/>
      <w:bookmarkStart w:id="4" w:name="_Toc13"/>
      <w:r>
        <w:rPr>
          <w:rFonts w:hint="eastAsia" w:ascii="方正小标宋简体" w:hAnsi="微软雅黑" w:eastAsia="方正小标宋简体" w:cs="微软雅黑"/>
          <w:sz w:val="52"/>
          <w:szCs w:val="52"/>
        </w:rPr>
        <w:t>网上商城</w:t>
      </w:r>
      <w:bookmarkStart w:id="5" w:name="_Toc24810"/>
      <w:r>
        <w:rPr>
          <w:rFonts w:hint="eastAsia" w:ascii="方正小标宋简体" w:hAnsi="微软雅黑" w:eastAsia="方正小标宋简体" w:cs="微软雅黑"/>
          <w:sz w:val="52"/>
          <w:szCs w:val="52"/>
        </w:rPr>
        <w:t>车辆</w:t>
      </w:r>
      <w:bookmarkEnd w:id="5"/>
      <w:r>
        <w:rPr>
          <w:rFonts w:hint="eastAsia" w:ascii="方正小标宋简体" w:hAnsi="微软雅黑" w:eastAsia="方正小标宋简体" w:cs="微软雅黑"/>
          <w:sz w:val="52"/>
          <w:szCs w:val="52"/>
          <w:lang w:val="en-US" w:eastAsia="zh-CN"/>
        </w:rPr>
        <w:t>加油</w:t>
      </w:r>
      <w:r>
        <w:rPr>
          <w:rFonts w:hint="eastAsia" w:ascii="方正小标宋简体" w:hAnsi="微软雅黑" w:eastAsia="方正小标宋简体" w:cs="微软雅黑"/>
          <w:sz w:val="52"/>
          <w:szCs w:val="52"/>
        </w:rPr>
        <w:t>服务</w:t>
      </w:r>
      <w:bookmarkStart w:id="6" w:name="_Toc21952"/>
      <w:r>
        <w:rPr>
          <w:rFonts w:hint="eastAsia" w:ascii="方正小标宋简体" w:hAnsi="微软雅黑" w:eastAsia="方正小标宋简体" w:cs="微软雅黑"/>
          <w:sz w:val="52"/>
          <w:szCs w:val="52"/>
        </w:rPr>
        <w:t>框架协议</w:t>
      </w:r>
      <w:bookmarkEnd w:id="1"/>
      <w:bookmarkEnd w:id="2"/>
      <w:bookmarkEnd w:id="3"/>
      <w:bookmarkEnd w:id="4"/>
    </w:p>
    <w:p>
      <w:pPr>
        <w:jc w:val="center"/>
        <w:outlineLvl w:val="0"/>
        <w:rPr>
          <w:rFonts w:hint="eastAsia" w:ascii="方正小标宋简体" w:hAnsi="微软雅黑" w:eastAsia="方正小标宋简体" w:cs="微软雅黑"/>
          <w:sz w:val="52"/>
          <w:szCs w:val="52"/>
        </w:rPr>
      </w:pPr>
      <w:bookmarkStart w:id="7" w:name="_Toc23837"/>
      <w:bookmarkStart w:id="8" w:name="_Toc10297"/>
      <w:bookmarkStart w:id="9" w:name="_Toc30553"/>
      <w:bookmarkStart w:id="10" w:name="_Toc805"/>
      <w:r>
        <w:rPr>
          <w:rFonts w:hint="eastAsia" w:ascii="方正小标宋简体" w:hAnsi="微软雅黑" w:eastAsia="方正小标宋简体" w:cs="微软雅黑"/>
          <w:sz w:val="52"/>
          <w:szCs w:val="52"/>
        </w:rPr>
        <w:t>二阶段</w:t>
      </w:r>
      <w:bookmarkEnd w:id="0"/>
      <w:bookmarkEnd w:id="6"/>
      <w:r>
        <w:rPr>
          <w:rFonts w:hint="eastAsia" w:ascii="方正小标宋简体" w:hAnsi="微软雅黑" w:eastAsia="方正小标宋简体" w:cs="微软雅黑"/>
          <w:sz w:val="52"/>
          <w:szCs w:val="52"/>
        </w:rPr>
        <w:t>采购操作手册</w:t>
      </w:r>
      <w:bookmarkEnd w:id="7"/>
      <w:bookmarkEnd w:id="8"/>
      <w:bookmarkEnd w:id="9"/>
      <w:bookmarkEnd w:id="10"/>
    </w:p>
    <w:p>
      <w:pPr>
        <w:jc w:val="center"/>
        <w:outlineLvl w:val="0"/>
        <w:rPr>
          <w:rFonts w:hint="eastAsia" w:ascii="方正小标宋简体" w:hAnsi="微软雅黑" w:eastAsia="方正小标宋简体" w:cs="微软雅黑"/>
          <w:sz w:val="52"/>
          <w:szCs w:val="52"/>
        </w:rPr>
      </w:pPr>
      <w:bookmarkStart w:id="11" w:name="_Toc29976"/>
      <w:bookmarkStart w:id="12" w:name="_Toc137"/>
      <w:bookmarkStart w:id="13" w:name="_Toc19849"/>
      <w:bookmarkStart w:id="14" w:name="_Toc1154"/>
      <w:r>
        <w:rPr>
          <w:rFonts w:hint="eastAsia" w:ascii="方正小标宋简体" w:hAnsi="微软雅黑" w:eastAsia="方正小标宋简体" w:cs="微软雅黑"/>
          <w:sz w:val="52"/>
          <w:szCs w:val="52"/>
        </w:rPr>
        <w:t>（采购人版1.0）</w:t>
      </w:r>
      <w:bookmarkEnd w:id="11"/>
      <w:bookmarkEnd w:id="12"/>
      <w:bookmarkEnd w:id="13"/>
      <w:bookmarkEnd w:id="14"/>
    </w:p>
    <w:p>
      <w:pPr>
        <w:jc w:val="center"/>
        <w:outlineLvl w:val="0"/>
        <w:rPr>
          <w:rFonts w:hint="eastAsia" w:ascii="方正小标宋简体" w:hAnsi="微软雅黑" w:eastAsia="方正小标宋简体" w:cs="微软雅黑"/>
          <w:sz w:val="52"/>
          <w:szCs w:val="52"/>
        </w:rPr>
      </w:pPr>
    </w:p>
    <w:p>
      <w:pPr>
        <w:jc w:val="center"/>
        <w:outlineLvl w:val="0"/>
        <w:rPr>
          <w:rFonts w:hint="eastAsia" w:ascii="方正小标宋简体" w:hAnsi="微软雅黑" w:eastAsia="方正小标宋简体" w:cs="微软雅黑"/>
          <w:sz w:val="52"/>
          <w:szCs w:val="52"/>
        </w:rPr>
      </w:pPr>
    </w:p>
    <w:p>
      <w:pPr>
        <w:jc w:val="center"/>
        <w:outlineLvl w:val="0"/>
        <w:rPr>
          <w:rFonts w:hint="eastAsia" w:ascii="方正小标宋简体" w:hAnsi="微软雅黑" w:eastAsia="方正小标宋简体" w:cs="微软雅黑"/>
          <w:sz w:val="52"/>
          <w:szCs w:val="52"/>
        </w:rPr>
      </w:pPr>
    </w:p>
    <w:p>
      <w:pPr>
        <w:jc w:val="center"/>
        <w:outlineLvl w:val="0"/>
        <w:rPr>
          <w:rFonts w:hint="eastAsia" w:ascii="方正小标宋简体" w:hAnsi="微软雅黑" w:eastAsia="方正小标宋简体" w:cs="微软雅黑"/>
          <w:sz w:val="52"/>
          <w:szCs w:val="52"/>
        </w:rPr>
      </w:pPr>
    </w:p>
    <w:p>
      <w:pPr>
        <w:jc w:val="center"/>
        <w:outlineLvl w:val="0"/>
        <w:rPr>
          <w:rFonts w:hint="eastAsia" w:ascii="方正小标宋简体" w:hAnsi="微软雅黑" w:eastAsia="方正小标宋简体" w:cs="微软雅黑"/>
          <w:sz w:val="52"/>
          <w:szCs w:val="52"/>
        </w:rPr>
      </w:pPr>
    </w:p>
    <w:p>
      <w:pPr>
        <w:jc w:val="center"/>
        <w:outlineLvl w:val="0"/>
        <w:rPr>
          <w:rFonts w:hint="eastAsia" w:ascii="方正小标宋简体" w:hAnsi="微软雅黑" w:eastAsia="方正小标宋简体" w:cs="微软雅黑"/>
          <w:sz w:val="52"/>
          <w:szCs w:val="52"/>
        </w:rPr>
      </w:pPr>
    </w:p>
    <w:p>
      <w:pPr>
        <w:jc w:val="center"/>
        <w:outlineLvl w:val="0"/>
        <w:rPr>
          <w:rFonts w:hint="eastAsia" w:ascii="方正小标宋简体" w:hAnsi="微软雅黑" w:eastAsia="方正小标宋简体" w:cs="微软雅黑"/>
          <w:sz w:val="52"/>
          <w:szCs w:val="52"/>
        </w:rPr>
      </w:pPr>
    </w:p>
    <w:p>
      <w:pPr>
        <w:jc w:val="center"/>
        <w:outlineLvl w:val="0"/>
        <w:rPr>
          <w:rFonts w:hint="default" w:ascii="方正小标宋简体" w:hAnsi="微软雅黑" w:eastAsia="方正小标宋简体" w:cs="微软雅黑"/>
          <w:sz w:val="28"/>
          <w:szCs w:val="28"/>
          <w:lang w:val="en-US" w:eastAsia="zh-CN"/>
        </w:rPr>
      </w:pPr>
      <w:bookmarkStart w:id="15" w:name="_Toc18519"/>
      <w:bookmarkStart w:id="16" w:name="_Toc29108"/>
      <w:bookmarkStart w:id="17" w:name="_Toc28007"/>
      <w:bookmarkStart w:id="18" w:name="_Toc10093"/>
      <w:r>
        <w:rPr>
          <w:rFonts w:hint="eastAsia" w:ascii="方正小标宋简体" w:hAnsi="微软雅黑" w:eastAsia="方正小标宋简体" w:cs="微软雅黑"/>
          <w:sz w:val="28"/>
          <w:szCs w:val="28"/>
          <w:lang w:val="en-US" w:eastAsia="zh-CN"/>
        </w:rPr>
        <w:t>2023年4月</w:t>
      </w:r>
      <w:bookmarkEnd w:id="15"/>
      <w:bookmarkEnd w:id="16"/>
      <w:bookmarkEnd w:id="17"/>
      <w:bookmarkEnd w:id="18"/>
    </w:p>
    <w:p>
      <w:pPr>
        <w:sectPr>
          <w:pgSz w:w="11906" w:h="16838"/>
          <w:pgMar w:top="1440" w:right="1800" w:bottom="1440" w:left="1800" w:header="851" w:footer="992" w:gutter="0"/>
          <w:cols w:space="425" w:num="1"/>
          <w:docGrid w:type="lines" w:linePitch="312" w:charSpace="0"/>
        </w:sectPr>
      </w:pPr>
    </w:p>
    <w:sdt>
      <w:sdtPr>
        <w:rPr>
          <w:rFonts w:ascii="宋体" w:hAnsi="宋体" w:eastAsia="宋体" w:cs="Times New Roman"/>
          <w:b w:val="0"/>
          <w:bCs w:val="0"/>
          <w:kern w:val="2"/>
          <w:sz w:val="30"/>
          <w:szCs w:val="30"/>
          <w:lang w:val="en-US" w:eastAsia="zh-CN" w:bidi="ar-SA"/>
        </w:rPr>
        <w:id w:val="147460549"/>
        <w15:color w:val="DBDBDB"/>
        <w:docPartObj>
          <w:docPartGallery w:val="Table of Contents"/>
          <w:docPartUnique/>
        </w:docPartObj>
      </w:sdtPr>
      <w:sdtEndPr>
        <w:rPr>
          <w:rFonts w:hint="default" w:ascii="Calibri" w:hAnsi="Calibri" w:eastAsia="宋体" w:cs="Times New Roman"/>
          <w:b/>
          <w:bCs/>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b w:val="0"/>
              <w:bCs w:val="0"/>
              <w:sz w:val="28"/>
              <w:szCs w:val="28"/>
            </w:rPr>
          </w:pPr>
          <w:r>
            <w:rPr>
              <w:rFonts w:hint="eastAsia" w:ascii="仿宋" w:hAnsi="仿宋" w:eastAsia="仿宋" w:cs="仿宋"/>
              <w:b w:val="0"/>
              <w:bCs w:val="0"/>
              <w:sz w:val="28"/>
              <w:szCs w:val="28"/>
            </w:rPr>
            <w:t>目</w:t>
          </w:r>
          <w:r>
            <w:rPr>
              <w:rFonts w:hint="eastAsia" w:ascii="仿宋" w:hAnsi="仿宋" w:eastAsia="仿宋" w:cs="仿宋"/>
              <w:b w:val="0"/>
              <w:bCs w:val="0"/>
              <w:sz w:val="28"/>
              <w:szCs w:val="28"/>
              <w:lang w:val="en-US" w:eastAsia="zh-CN"/>
            </w:rPr>
            <w:t xml:space="preserve"> </w:t>
          </w:r>
          <w:r>
            <w:rPr>
              <w:rFonts w:hint="eastAsia" w:ascii="仿宋" w:hAnsi="仿宋" w:eastAsia="仿宋" w:cs="仿宋"/>
              <w:b w:val="0"/>
              <w:bCs w:val="0"/>
              <w:sz w:val="28"/>
              <w:szCs w:val="28"/>
            </w:rPr>
            <w:t>录</w:t>
          </w:r>
        </w:p>
        <w:p>
          <w:pPr>
            <w:pStyle w:val="6"/>
            <w:tabs>
              <w:tab w:val="right" w:leader="dot" w:pos="8306"/>
            </w:tabs>
          </w:pP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TOC \o "1-2" \h \u </w:instrText>
          </w:r>
          <w:r>
            <w:rPr>
              <w:rFonts w:hint="eastAsia" w:ascii="仿宋" w:hAnsi="仿宋" w:eastAsia="仿宋" w:cs="仿宋"/>
              <w:sz w:val="28"/>
              <w:szCs w:val="28"/>
              <w:lang w:val="en-US" w:eastAsia="zh-CN"/>
            </w:rPr>
            <w:fldChar w:fldCharType="separate"/>
          </w:r>
        </w:p>
        <w:p>
          <w:pPr>
            <w:pStyle w:val="6"/>
            <w:tabs>
              <w:tab w:val="right" w:leader="dot" w:pos="8306"/>
            </w:tabs>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HYPERLINK \l _Toc13530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一、采购流程</w:t>
          </w:r>
          <w:r>
            <w:rPr>
              <w:rFonts w:hint="eastAsia" w:ascii="仿宋_GB2312" w:hAnsi="仿宋" w:eastAsia="仿宋_GB2312" w:cs="仿宋"/>
              <w:kern w:val="2"/>
              <w:sz w:val="28"/>
              <w:szCs w:val="28"/>
              <w:lang w:val="en-US" w:eastAsia="zh-CN" w:bidi="ar-SA"/>
            </w:rPr>
            <w:tab/>
          </w: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PAGEREF _Toc13530 \h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2</w:t>
          </w:r>
          <w:r>
            <w:rPr>
              <w:rFonts w:hint="eastAsia" w:ascii="仿宋_GB2312" w:hAnsi="仿宋" w:eastAsia="仿宋_GB2312" w:cs="仿宋"/>
              <w:kern w:val="2"/>
              <w:sz w:val="28"/>
              <w:szCs w:val="28"/>
              <w:lang w:val="en-US" w:eastAsia="zh-CN" w:bidi="ar-SA"/>
            </w:rPr>
            <w:fldChar w:fldCharType="end"/>
          </w:r>
          <w:r>
            <w:rPr>
              <w:rFonts w:hint="eastAsia" w:ascii="仿宋_GB2312" w:hAnsi="仿宋" w:eastAsia="仿宋_GB2312" w:cs="仿宋"/>
              <w:kern w:val="2"/>
              <w:sz w:val="28"/>
              <w:szCs w:val="28"/>
              <w:lang w:val="en-US" w:eastAsia="zh-CN" w:bidi="ar-SA"/>
            </w:rPr>
            <w:fldChar w:fldCharType="end"/>
          </w:r>
        </w:p>
        <w:p>
          <w:pPr>
            <w:pStyle w:val="6"/>
            <w:tabs>
              <w:tab w:val="right" w:leader="dot" w:pos="8306"/>
            </w:tabs>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HYPERLINK \l _Toc10364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二、操作指南</w:t>
          </w:r>
          <w:r>
            <w:rPr>
              <w:rFonts w:hint="eastAsia" w:ascii="仿宋_GB2312" w:hAnsi="仿宋" w:eastAsia="仿宋_GB2312" w:cs="仿宋"/>
              <w:kern w:val="2"/>
              <w:sz w:val="28"/>
              <w:szCs w:val="28"/>
              <w:lang w:val="en-US" w:eastAsia="zh-CN" w:bidi="ar-SA"/>
            </w:rPr>
            <w:tab/>
          </w: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PAGEREF _Toc10364 \h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4</w:t>
          </w:r>
          <w:r>
            <w:rPr>
              <w:rFonts w:hint="eastAsia" w:ascii="仿宋_GB2312" w:hAnsi="仿宋" w:eastAsia="仿宋_GB2312" w:cs="仿宋"/>
              <w:kern w:val="2"/>
              <w:sz w:val="28"/>
              <w:szCs w:val="28"/>
              <w:lang w:val="en-US" w:eastAsia="zh-CN" w:bidi="ar-SA"/>
            </w:rPr>
            <w:fldChar w:fldCharType="end"/>
          </w:r>
          <w:r>
            <w:rPr>
              <w:rFonts w:hint="eastAsia" w:ascii="仿宋_GB2312" w:hAnsi="仿宋" w:eastAsia="仿宋_GB2312" w:cs="仿宋"/>
              <w:kern w:val="2"/>
              <w:sz w:val="28"/>
              <w:szCs w:val="28"/>
              <w:lang w:val="en-US" w:eastAsia="zh-CN" w:bidi="ar-SA"/>
            </w:rPr>
            <w:fldChar w:fldCharType="end"/>
          </w:r>
        </w:p>
        <w:p>
          <w:pPr>
            <w:pStyle w:val="6"/>
            <w:tabs>
              <w:tab w:val="right" w:leader="dot" w:pos="8306"/>
            </w:tabs>
            <w:ind w:firstLine="560" w:firstLineChars="200"/>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HYPERLINK \l _Toc16010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1.用户登录</w:t>
          </w:r>
          <w:r>
            <w:rPr>
              <w:rFonts w:hint="eastAsia" w:ascii="仿宋_GB2312" w:hAnsi="仿宋" w:eastAsia="仿宋_GB2312" w:cs="仿宋"/>
              <w:kern w:val="2"/>
              <w:sz w:val="28"/>
              <w:szCs w:val="28"/>
              <w:lang w:val="en-US" w:eastAsia="zh-CN" w:bidi="ar-SA"/>
            </w:rPr>
            <w:tab/>
          </w: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PAGEREF _Toc16010 \h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4</w:t>
          </w:r>
          <w:r>
            <w:rPr>
              <w:rFonts w:hint="eastAsia" w:ascii="仿宋_GB2312" w:hAnsi="仿宋" w:eastAsia="仿宋_GB2312" w:cs="仿宋"/>
              <w:kern w:val="2"/>
              <w:sz w:val="28"/>
              <w:szCs w:val="28"/>
              <w:lang w:val="en-US" w:eastAsia="zh-CN" w:bidi="ar-SA"/>
            </w:rPr>
            <w:fldChar w:fldCharType="end"/>
          </w:r>
          <w:r>
            <w:rPr>
              <w:rFonts w:hint="eastAsia" w:ascii="仿宋_GB2312" w:hAnsi="仿宋" w:eastAsia="仿宋_GB2312" w:cs="仿宋"/>
              <w:kern w:val="2"/>
              <w:sz w:val="28"/>
              <w:szCs w:val="28"/>
              <w:lang w:val="en-US" w:eastAsia="zh-CN" w:bidi="ar-SA"/>
            </w:rPr>
            <w:fldChar w:fldCharType="end"/>
          </w:r>
        </w:p>
        <w:p>
          <w:pPr>
            <w:pStyle w:val="6"/>
            <w:tabs>
              <w:tab w:val="right" w:leader="dot" w:pos="8306"/>
            </w:tabs>
            <w:ind w:firstLine="560" w:firstLineChars="200"/>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HYPERLINK \l _Toc7028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2.编制采购计划</w:t>
          </w:r>
          <w:r>
            <w:rPr>
              <w:rFonts w:hint="eastAsia" w:ascii="仿宋_GB2312" w:hAnsi="仿宋" w:eastAsia="仿宋_GB2312" w:cs="仿宋"/>
              <w:kern w:val="2"/>
              <w:sz w:val="28"/>
              <w:szCs w:val="28"/>
              <w:lang w:val="en-US" w:eastAsia="zh-CN" w:bidi="ar-SA"/>
            </w:rPr>
            <w:tab/>
          </w: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PAGEREF _Toc7028 \h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6</w:t>
          </w:r>
          <w:r>
            <w:rPr>
              <w:rFonts w:hint="eastAsia" w:ascii="仿宋_GB2312" w:hAnsi="仿宋" w:eastAsia="仿宋_GB2312" w:cs="仿宋"/>
              <w:kern w:val="2"/>
              <w:sz w:val="28"/>
              <w:szCs w:val="28"/>
              <w:lang w:val="en-US" w:eastAsia="zh-CN" w:bidi="ar-SA"/>
            </w:rPr>
            <w:fldChar w:fldCharType="end"/>
          </w:r>
          <w:r>
            <w:rPr>
              <w:rFonts w:hint="eastAsia" w:ascii="仿宋_GB2312" w:hAnsi="仿宋" w:eastAsia="仿宋_GB2312" w:cs="仿宋"/>
              <w:kern w:val="2"/>
              <w:sz w:val="28"/>
              <w:szCs w:val="28"/>
              <w:lang w:val="en-US" w:eastAsia="zh-CN" w:bidi="ar-SA"/>
            </w:rPr>
            <w:fldChar w:fldCharType="end"/>
          </w:r>
        </w:p>
        <w:p>
          <w:pPr>
            <w:pStyle w:val="6"/>
            <w:tabs>
              <w:tab w:val="right" w:leader="dot" w:pos="8306"/>
            </w:tabs>
            <w:ind w:firstLine="560" w:firstLineChars="200"/>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HYPERLINK \l _Toc4520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3.登记加油主卡</w:t>
          </w:r>
          <w:r>
            <w:rPr>
              <w:rFonts w:hint="eastAsia" w:ascii="仿宋_GB2312" w:hAnsi="仿宋" w:eastAsia="仿宋_GB2312" w:cs="仿宋"/>
              <w:kern w:val="2"/>
              <w:sz w:val="28"/>
              <w:szCs w:val="28"/>
              <w:lang w:val="en-US" w:eastAsia="zh-CN" w:bidi="ar-SA"/>
            </w:rPr>
            <w:tab/>
          </w: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PAGEREF _Toc4520 \h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7</w:t>
          </w:r>
          <w:r>
            <w:rPr>
              <w:rFonts w:hint="eastAsia" w:ascii="仿宋_GB2312" w:hAnsi="仿宋" w:eastAsia="仿宋_GB2312" w:cs="仿宋"/>
              <w:kern w:val="2"/>
              <w:sz w:val="28"/>
              <w:szCs w:val="28"/>
              <w:lang w:val="en-US" w:eastAsia="zh-CN" w:bidi="ar-SA"/>
            </w:rPr>
            <w:fldChar w:fldCharType="end"/>
          </w:r>
          <w:r>
            <w:rPr>
              <w:rFonts w:hint="eastAsia" w:ascii="仿宋_GB2312" w:hAnsi="仿宋" w:eastAsia="仿宋_GB2312" w:cs="仿宋"/>
              <w:kern w:val="2"/>
              <w:sz w:val="28"/>
              <w:szCs w:val="28"/>
              <w:lang w:val="en-US" w:eastAsia="zh-CN" w:bidi="ar-SA"/>
            </w:rPr>
            <w:fldChar w:fldCharType="end"/>
          </w:r>
        </w:p>
        <w:p>
          <w:pPr>
            <w:pStyle w:val="6"/>
            <w:tabs>
              <w:tab w:val="right" w:leader="dot" w:pos="8306"/>
            </w:tabs>
            <w:ind w:firstLine="560" w:firstLineChars="200"/>
            <w:rPr>
              <w:rFonts w:hint="eastAsia" w:ascii="仿宋_GB2312" w:hAnsi="仿宋" w:eastAsia="仿宋_GB2312" w:cs="仿宋"/>
              <w:kern w:val="2"/>
              <w:sz w:val="28"/>
              <w:szCs w:val="28"/>
              <w:lang w:val="en-US" w:eastAsia="zh-CN" w:bidi="ar-SA"/>
            </w:rPr>
          </w:pP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HYPERLINK \l _Toc2472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4.发布项目</w:t>
          </w:r>
          <w:r>
            <w:rPr>
              <w:rFonts w:hint="eastAsia" w:ascii="仿宋_GB2312" w:hAnsi="仿宋" w:eastAsia="仿宋_GB2312" w:cs="仿宋"/>
              <w:kern w:val="2"/>
              <w:sz w:val="28"/>
              <w:szCs w:val="28"/>
              <w:lang w:val="en-US" w:eastAsia="zh-CN" w:bidi="ar-SA"/>
            </w:rPr>
            <w:tab/>
          </w: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PAGEREF _Toc2472 \h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8</w:t>
          </w:r>
          <w:r>
            <w:rPr>
              <w:rFonts w:hint="eastAsia" w:ascii="仿宋_GB2312" w:hAnsi="仿宋" w:eastAsia="仿宋_GB2312" w:cs="仿宋"/>
              <w:kern w:val="2"/>
              <w:sz w:val="28"/>
              <w:szCs w:val="28"/>
              <w:lang w:val="en-US" w:eastAsia="zh-CN" w:bidi="ar-SA"/>
            </w:rPr>
            <w:fldChar w:fldCharType="end"/>
          </w:r>
          <w:r>
            <w:rPr>
              <w:rFonts w:hint="eastAsia" w:ascii="仿宋_GB2312" w:hAnsi="仿宋" w:eastAsia="仿宋_GB2312" w:cs="仿宋"/>
              <w:kern w:val="2"/>
              <w:sz w:val="28"/>
              <w:szCs w:val="28"/>
              <w:lang w:val="en-US" w:eastAsia="zh-CN" w:bidi="ar-SA"/>
            </w:rPr>
            <w:fldChar w:fldCharType="end"/>
          </w:r>
        </w:p>
        <w:p>
          <w:pPr>
            <w:pStyle w:val="6"/>
            <w:tabs>
              <w:tab w:val="right" w:leader="dot" w:pos="8306"/>
            </w:tabs>
            <w:ind w:firstLine="560" w:firstLineChars="200"/>
          </w:pP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HYPERLINK \l _Toc19846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5.确认成交</w:t>
          </w:r>
          <w:r>
            <w:rPr>
              <w:rFonts w:hint="eastAsia" w:ascii="仿宋_GB2312" w:hAnsi="仿宋" w:eastAsia="仿宋_GB2312" w:cs="仿宋"/>
              <w:kern w:val="2"/>
              <w:sz w:val="28"/>
              <w:szCs w:val="28"/>
              <w:lang w:val="en-US" w:eastAsia="zh-CN" w:bidi="ar-SA"/>
            </w:rPr>
            <w:tab/>
          </w:r>
          <w:r>
            <w:rPr>
              <w:rFonts w:hint="eastAsia" w:ascii="仿宋_GB2312" w:hAnsi="仿宋" w:eastAsia="仿宋_GB2312" w:cs="仿宋"/>
              <w:kern w:val="2"/>
              <w:sz w:val="28"/>
              <w:szCs w:val="28"/>
              <w:lang w:val="en-US" w:eastAsia="zh-CN" w:bidi="ar-SA"/>
            </w:rPr>
            <w:fldChar w:fldCharType="begin"/>
          </w:r>
          <w:r>
            <w:rPr>
              <w:rFonts w:hint="eastAsia" w:ascii="仿宋_GB2312" w:hAnsi="仿宋" w:eastAsia="仿宋_GB2312" w:cs="仿宋"/>
              <w:kern w:val="2"/>
              <w:sz w:val="28"/>
              <w:szCs w:val="28"/>
              <w:lang w:val="en-US" w:eastAsia="zh-CN" w:bidi="ar-SA"/>
            </w:rPr>
            <w:instrText xml:space="preserve"> PAGEREF _Toc19846 \h </w:instrText>
          </w:r>
          <w:r>
            <w:rPr>
              <w:rFonts w:hint="eastAsia" w:ascii="仿宋_GB2312" w:hAnsi="仿宋" w:eastAsia="仿宋_GB2312" w:cs="仿宋"/>
              <w:kern w:val="2"/>
              <w:sz w:val="28"/>
              <w:szCs w:val="28"/>
              <w:lang w:val="en-US" w:eastAsia="zh-CN" w:bidi="ar-SA"/>
            </w:rPr>
            <w:fldChar w:fldCharType="separate"/>
          </w:r>
          <w:r>
            <w:rPr>
              <w:rFonts w:hint="eastAsia" w:ascii="仿宋_GB2312" w:hAnsi="仿宋" w:eastAsia="仿宋_GB2312" w:cs="仿宋"/>
              <w:kern w:val="2"/>
              <w:sz w:val="28"/>
              <w:szCs w:val="28"/>
              <w:lang w:val="en-US" w:eastAsia="zh-CN" w:bidi="ar-SA"/>
            </w:rPr>
            <w:t>13</w:t>
          </w:r>
          <w:r>
            <w:rPr>
              <w:rFonts w:hint="eastAsia" w:ascii="仿宋_GB2312" w:hAnsi="仿宋" w:eastAsia="仿宋_GB2312" w:cs="仿宋"/>
              <w:kern w:val="2"/>
              <w:sz w:val="28"/>
              <w:szCs w:val="28"/>
              <w:lang w:val="en-US" w:eastAsia="zh-CN" w:bidi="ar-SA"/>
            </w:rPr>
            <w:fldChar w:fldCharType="end"/>
          </w:r>
          <w:r>
            <w:rPr>
              <w:rFonts w:hint="eastAsia" w:ascii="仿宋_GB2312" w:hAnsi="仿宋" w:eastAsia="仿宋_GB2312" w:cs="仿宋"/>
              <w:kern w:val="2"/>
              <w:sz w:val="28"/>
              <w:szCs w:val="28"/>
              <w:lang w:val="en-US" w:eastAsia="zh-CN" w:bidi="ar-SA"/>
            </w:rPr>
            <w:fldChar w:fldCharType="end"/>
          </w:r>
          <w:bookmarkStart w:id="29" w:name="_GoBack"/>
          <w:bookmarkEnd w:id="29"/>
        </w:p>
        <w:p>
          <w:pPr>
            <w:jc w:val="center"/>
            <w:rPr>
              <w:rFonts w:hint="default"/>
              <w:sz w:val="32"/>
              <w:szCs w:val="32"/>
              <w:lang w:val="en-US" w:eastAsia="zh-CN"/>
            </w:rPr>
          </w:pPr>
          <w:r>
            <w:rPr>
              <w:rFonts w:hint="eastAsia" w:ascii="仿宋" w:hAnsi="仿宋" w:eastAsia="仿宋" w:cs="仿宋"/>
              <w:szCs w:val="28"/>
              <w:lang w:val="en-US" w:eastAsia="zh-CN"/>
            </w:rPr>
            <w:fldChar w:fldCharType="end"/>
          </w:r>
        </w:p>
      </w:sdtContent>
    </w:sdt>
    <w:p>
      <w:pPr>
        <w:jc w:val="center"/>
        <w:rPr>
          <w:rFonts w:hint="eastAsia"/>
          <w:sz w:val="32"/>
          <w:szCs w:val="32"/>
          <w:lang w:val="en-US" w:eastAsia="zh-CN"/>
        </w:rPr>
      </w:pPr>
    </w:p>
    <w:p>
      <w:pPr>
        <w:rPr>
          <w:rFonts w:hint="eastAsia" w:asciiTheme="majorEastAsia" w:hAnsiTheme="majorEastAsia" w:eastAsiaTheme="majorEastAsia" w:cstheme="majorEastAsia"/>
          <w:sz w:val="32"/>
          <w:szCs w:val="32"/>
          <w:lang w:val="en-US" w:eastAsia="zh-CN"/>
        </w:rPr>
      </w:pPr>
      <w:r>
        <w:rPr>
          <w:rFonts w:hint="eastAsia" w:asciiTheme="majorEastAsia" w:hAnsiTheme="majorEastAsia" w:eastAsiaTheme="majorEastAsia" w:cstheme="majorEastAsia"/>
          <w:sz w:val="32"/>
          <w:szCs w:val="32"/>
          <w:lang w:val="en-US" w:eastAsia="zh-CN"/>
        </w:rPr>
        <w:br w:type="page"/>
      </w:r>
    </w:p>
    <w:p>
      <w:pPr>
        <w:pStyle w:val="12"/>
        <w:numPr>
          <w:ilvl w:val="0"/>
          <w:numId w:val="0"/>
        </w:numPr>
        <w:ind w:firstLine="562" w:firstLineChars="200"/>
        <w:rPr>
          <w:rFonts w:hint="eastAsia" w:ascii="黑体" w:hAnsi="黑体" w:eastAsia="黑体" w:cs="黑体"/>
          <w:b/>
          <w:bCs/>
          <w:szCs w:val="28"/>
        </w:rPr>
      </w:pPr>
      <w:bookmarkStart w:id="19" w:name="_Toc3609"/>
      <w:bookmarkStart w:id="20" w:name="_Toc13530"/>
      <w:r>
        <w:rPr>
          <w:rFonts w:hint="eastAsia" w:ascii="黑体" w:hAnsi="黑体" w:eastAsia="黑体" w:cs="黑体"/>
          <w:b/>
          <w:bCs/>
          <w:szCs w:val="28"/>
        </w:rPr>
        <w:t>一、采购流程</w:t>
      </w:r>
      <w:bookmarkEnd w:id="19"/>
      <w:bookmarkEnd w:id="20"/>
    </w:p>
    <w:p>
      <w:pPr>
        <w:spacing w:line="580" w:lineRule="exact"/>
        <w:ind w:firstLine="562" w:firstLineChars="200"/>
        <w:jc w:val="left"/>
        <w:rPr>
          <w:rFonts w:hint="default" w:ascii="仿宋_GB2312" w:hAnsi="仿宋" w:eastAsia="仿宋_GB2312" w:cs="仿宋"/>
          <w:sz w:val="28"/>
          <w:szCs w:val="28"/>
          <w:lang w:val="en-US" w:eastAsia="zh-CN"/>
        </w:rPr>
      </w:pPr>
      <w:r>
        <w:rPr>
          <w:rFonts w:hint="eastAsia" w:ascii="仿宋_GB2312" w:hAnsi="仿宋" w:eastAsia="仿宋_GB2312" w:cs="仿宋"/>
          <w:b/>
          <w:bCs/>
          <w:sz w:val="28"/>
          <w:szCs w:val="28"/>
          <w:lang w:val="en-US" w:eastAsia="zh-CN"/>
        </w:rPr>
        <w:t>1</w:t>
      </w:r>
      <w:r>
        <w:rPr>
          <w:rFonts w:hint="eastAsia" w:ascii="仿宋_GB2312" w:hAnsi="仿宋" w:eastAsia="仿宋_GB2312" w:cs="仿宋"/>
          <w:b/>
          <w:bCs/>
          <w:sz w:val="28"/>
          <w:szCs w:val="28"/>
        </w:rPr>
        <w:t>.</w:t>
      </w:r>
      <w:r>
        <w:rPr>
          <w:rFonts w:hint="eastAsia" w:ascii="仿宋_GB2312" w:hAnsi="仿宋" w:eastAsia="仿宋_GB2312" w:cs="仿宋"/>
          <w:b/>
          <w:bCs/>
          <w:sz w:val="28"/>
          <w:szCs w:val="28"/>
          <w:lang w:val="en-US" w:eastAsia="zh-CN"/>
        </w:rPr>
        <w:t>登记加油主卡</w:t>
      </w:r>
      <w:r>
        <w:rPr>
          <w:rFonts w:hint="eastAsia" w:ascii="仿宋_GB2312" w:hAnsi="仿宋" w:eastAsia="仿宋_GB2312" w:cs="仿宋"/>
          <w:b/>
          <w:bCs/>
          <w:sz w:val="28"/>
          <w:szCs w:val="28"/>
        </w:rPr>
        <w:t>。</w:t>
      </w:r>
      <w:r>
        <w:rPr>
          <w:rFonts w:hint="eastAsia" w:ascii="仿宋_GB2312" w:hAnsi="仿宋" w:eastAsia="仿宋_GB2312" w:cs="仿宋"/>
          <w:b w:val="0"/>
          <w:bCs w:val="0"/>
          <w:sz w:val="28"/>
          <w:szCs w:val="28"/>
        </w:rPr>
        <w:t>采购人</w:t>
      </w:r>
      <w:r>
        <w:rPr>
          <w:rFonts w:hint="eastAsia" w:ascii="仿宋_GB2312" w:hAnsi="仿宋" w:eastAsia="仿宋_GB2312" w:cs="仿宋"/>
          <w:sz w:val="28"/>
          <w:szCs w:val="28"/>
        </w:rPr>
        <w:t>登录“齐鲁云采政府采购网上商城”(http://ggzyjyzx.shandong.gov.cn/wssc/sdszfcg/), 进入框架协议采购专区，在</w:t>
      </w:r>
      <w:r>
        <w:rPr>
          <w:rFonts w:hint="eastAsia" w:ascii="仿宋_GB2312" w:hAnsi="仿宋" w:eastAsia="仿宋_GB2312" w:cs="仿宋"/>
          <w:sz w:val="28"/>
          <w:szCs w:val="28"/>
          <w:lang w:val="en-US" w:eastAsia="zh-CN"/>
        </w:rPr>
        <w:t>采购人主卡</w:t>
      </w:r>
      <w:r>
        <w:rPr>
          <w:rFonts w:hint="eastAsia" w:ascii="仿宋_GB2312" w:hAnsi="仿宋" w:eastAsia="仿宋_GB2312" w:cs="仿宋"/>
          <w:b w:val="0"/>
          <w:bCs w:val="0"/>
          <w:sz w:val="28"/>
          <w:szCs w:val="28"/>
          <w:lang w:val="en-US" w:eastAsia="zh-CN"/>
        </w:rPr>
        <w:t>管</w:t>
      </w:r>
      <w:r>
        <w:rPr>
          <w:rFonts w:hint="eastAsia" w:ascii="仿宋_GB2312" w:hAnsi="仿宋" w:eastAsia="仿宋_GB2312" w:cs="仿宋"/>
          <w:sz w:val="28"/>
          <w:szCs w:val="28"/>
          <w:lang w:val="en-US" w:eastAsia="zh-CN"/>
        </w:rPr>
        <w:t>理</w:t>
      </w:r>
      <w:r>
        <w:rPr>
          <w:rFonts w:hint="eastAsia" w:ascii="仿宋_GB2312" w:hAnsi="仿宋" w:eastAsia="仿宋_GB2312" w:cs="仿宋"/>
          <w:sz w:val="28"/>
          <w:szCs w:val="28"/>
        </w:rPr>
        <w:t>栏目下，录入本单位</w:t>
      </w:r>
      <w:r>
        <w:rPr>
          <w:rFonts w:hint="eastAsia" w:ascii="仿宋_GB2312" w:hAnsi="仿宋" w:eastAsia="仿宋_GB2312" w:cs="仿宋"/>
          <w:sz w:val="28"/>
          <w:szCs w:val="28"/>
          <w:lang w:val="en-US" w:eastAsia="zh-CN"/>
        </w:rPr>
        <w:t>在入围供应商办理的加油主卡</w:t>
      </w:r>
      <w:r>
        <w:rPr>
          <w:rFonts w:hint="eastAsia" w:ascii="仿宋_GB2312" w:hAnsi="仿宋" w:eastAsia="仿宋_GB2312" w:cs="仿宋"/>
          <w:sz w:val="28"/>
          <w:szCs w:val="28"/>
        </w:rPr>
        <w:t>信息</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如加油主卡已登记，请忽略本步</w:t>
      </w:r>
      <w:r>
        <w:rPr>
          <w:rFonts w:hint="eastAsia" w:ascii="仿宋_GB2312" w:hAnsi="仿宋" w:eastAsia="仿宋_GB2312" w:cs="仿宋"/>
          <w:sz w:val="28"/>
          <w:szCs w:val="28"/>
          <w:lang w:eastAsia="zh-CN"/>
        </w:rPr>
        <w:t>）</w:t>
      </w:r>
      <w:r>
        <w:rPr>
          <w:rFonts w:hint="eastAsia" w:ascii="仿宋_GB2312" w:hAnsi="仿宋" w:eastAsia="仿宋_GB2312" w:cs="仿宋"/>
          <w:sz w:val="28"/>
          <w:szCs w:val="28"/>
          <w:lang w:val="en-US" w:eastAsia="zh-CN"/>
        </w:rPr>
        <w:t>主卡为管理卡，每家单位在每家加油公司只开设1张主卡，主要用于充值管理及对副卡进行资金分配划转。副卡为每车一张，只可用于加油。采购单位经办人凭以下资料，到入围供应商任意站点办理加油卡： 1.单位法人证书复印件 2.单位开具的授权委托书 3.被委托人身份证复印件 4.单位车辆行驶证复印件（办理副卡使用） 以上资料均需加盖单位公章。</w:t>
      </w:r>
    </w:p>
    <w:p>
      <w:pPr>
        <w:spacing w:line="580" w:lineRule="exact"/>
        <w:ind w:firstLine="562" w:firstLineChars="200"/>
        <w:jc w:val="left"/>
        <w:rPr>
          <w:rFonts w:hint="eastAsia" w:ascii="仿宋_GB2312" w:hAnsi="仿宋" w:eastAsia="仿宋_GB2312" w:cs="仿宋"/>
          <w:b/>
          <w:bCs/>
          <w:sz w:val="28"/>
          <w:szCs w:val="28"/>
        </w:rPr>
      </w:pPr>
      <w:r>
        <w:rPr>
          <w:rFonts w:hint="eastAsia" w:ascii="仿宋_GB2312" w:hAnsi="仿宋" w:eastAsia="仿宋_GB2312" w:cs="仿宋"/>
          <w:b/>
          <w:bCs/>
          <w:sz w:val="28"/>
          <w:szCs w:val="28"/>
          <w:lang w:val="en-US" w:eastAsia="zh-CN"/>
        </w:rPr>
        <w:t>2</w:t>
      </w:r>
      <w:r>
        <w:rPr>
          <w:rFonts w:hint="eastAsia" w:ascii="仿宋_GB2312" w:hAnsi="仿宋" w:eastAsia="仿宋_GB2312" w:cs="仿宋"/>
          <w:b/>
          <w:bCs/>
          <w:sz w:val="28"/>
          <w:szCs w:val="28"/>
        </w:rPr>
        <w:t>.编制采购计划。</w:t>
      </w:r>
      <w:r>
        <w:rPr>
          <w:rFonts w:hint="eastAsia" w:ascii="仿宋_GB2312" w:hAnsi="仿宋" w:eastAsia="仿宋_GB2312" w:cs="仿宋"/>
          <w:sz w:val="28"/>
          <w:szCs w:val="28"/>
        </w:rPr>
        <w:t>预算指标批复后，通过财政预算管理一体化系统中政府采购模块编制</w:t>
      </w:r>
      <w:r>
        <w:rPr>
          <w:rFonts w:hint="eastAsia" w:ascii="仿宋_GB2312" w:hAnsi="仿宋" w:eastAsia="仿宋_GB2312" w:cs="仿宋"/>
          <w:sz w:val="28"/>
          <w:szCs w:val="28"/>
          <w:lang w:val="en-US" w:eastAsia="zh-CN"/>
        </w:rPr>
        <w:t>加油</w:t>
      </w:r>
      <w:r>
        <w:rPr>
          <w:rFonts w:hint="eastAsia" w:ascii="仿宋_GB2312" w:hAnsi="仿宋" w:eastAsia="仿宋_GB2312" w:cs="仿宋"/>
          <w:sz w:val="28"/>
          <w:szCs w:val="28"/>
        </w:rPr>
        <w:t>服务采购计划，采购方式选择框架协议二阶段，</w:t>
      </w:r>
      <w:r>
        <w:rPr>
          <w:rFonts w:hint="eastAsia" w:ascii="仿宋_GB2312" w:hAnsi="仿宋" w:eastAsia="仿宋_GB2312" w:cs="仿宋"/>
          <w:sz w:val="28"/>
          <w:szCs w:val="28"/>
          <w:lang w:val="en-US" w:eastAsia="zh-CN"/>
        </w:rPr>
        <w:t>计划生成后自动立项分包，并</w:t>
      </w:r>
      <w:r>
        <w:rPr>
          <w:rFonts w:hint="eastAsia" w:ascii="仿宋_GB2312" w:hAnsi="仿宋" w:eastAsia="仿宋_GB2312" w:cs="仿宋"/>
          <w:sz w:val="28"/>
          <w:szCs w:val="28"/>
        </w:rPr>
        <w:t>导入网上商城</w:t>
      </w:r>
      <w:r>
        <w:rPr>
          <w:rFonts w:hint="eastAsia" w:ascii="仿宋_GB2312" w:hAnsi="仿宋" w:eastAsia="仿宋_GB2312" w:cs="仿宋"/>
          <w:sz w:val="28"/>
          <w:szCs w:val="28"/>
          <w:lang w:val="en-US" w:eastAsia="zh-CN"/>
        </w:rPr>
        <w:t>。</w:t>
      </w:r>
    </w:p>
    <w:p>
      <w:pPr>
        <w:spacing w:line="580" w:lineRule="exact"/>
        <w:ind w:firstLine="562" w:firstLineChars="200"/>
        <w:jc w:val="left"/>
        <w:rPr>
          <w:rFonts w:hint="eastAsia" w:ascii="仿宋_GB2312" w:hAnsi="仿宋" w:eastAsia="仿宋_GB2312" w:cs="仿宋"/>
          <w:sz w:val="28"/>
          <w:szCs w:val="28"/>
        </w:rPr>
      </w:pPr>
      <w:r>
        <w:rPr>
          <w:rFonts w:hint="eastAsia" w:ascii="仿宋_GB2312" w:hAnsi="仿宋" w:eastAsia="仿宋_GB2312" w:cs="仿宋"/>
          <w:b/>
          <w:bCs/>
          <w:sz w:val="28"/>
          <w:szCs w:val="28"/>
          <w:lang w:val="en-US" w:eastAsia="zh-CN"/>
        </w:rPr>
        <w:t>3</w:t>
      </w:r>
      <w:r>
        <w:rPr>
          <w:rFonts w:hint="eastAsia" w:ascii="仿宋_GB2312" w:hAnsi="仿宋" w:eastAsia="仿宋_GB2312" w:cs="仿宋"/>
          <w:b/>
          <w:bCs/>
          <w:sz w:val="28"/>
          <w:szCs w:val="28"/>
        </w:rPr>
        <w:t>.采购人选择供应商。</w:t>
      </w:r>
      <w:r>
        <w:rPr>
          <w:rFonts w:hint="eastAsia" w:ascii="仿宋_GB2312" w:hAnsi="仿宋" w:eastAsia="仿宋_GB2312" w:cs="仿宋"/>
          <w:sz w:val="28"/>
          <w:szCs w:val="28"/>
        </w:rPr>
        <w:t>采购人登录网上商城，进入框架协议采购专区的入围服务库中查阅</w:t>
      </w:r>
      <w:r>
        <w:rPr>
          <w:rFonts w:hint="eastAsia" w:ascii="仿宋_GB2312" w:hAnsi="仿宋" w:eastAsia="仿宋_GB2312" w:cs="仿宋"/>
          <w:sz w:val="28"/>
          <w:szCs w:val="28"/>
          <w:lang w:val="en-US" w:eastAsia="zh-CN"/>
        </w:rPr>
        <w:t>加油服务</w:t>
      </w:r>
      <w:r>
        <w:rPr>
          <w:rFonts w:hint="eastAsia" w:ascii="仿宋_GB2312" w:hAnsi="仿宋" w:eastAsia="仿宋_GB2312" w:cs="仿宋"/>
          <w:sz w:val="28"/>
          <w:szCs w:val="28"/>
        </w:rPr>
        <w:t>入围</w:t>
      </w:r>
      <w:r>
        <w:rPr>
          <w:rFonts w:hint="eastAsia" w:ascii="仿宋_GB2312" w:hAnsi="仿宋" w:eastAsia="仿宋_GB2312" w:cs="仿宋"/>
          <w:sz w:val="28"/>
          <w:szCs w:val="28"/>
          <w:lang w:val="en-US" w:eastAsia="zh-CN"/>
        </w:rPr>
        <w:t>供应商</w:t>
      </w:r>
      <w:r>
        <w:rPr>
          <w:rFonts w:hint="eastAsia" w:ascii="仿宋_GB2312" w:hAnsi="仿宋" w:eastAsia="仿宋_GB2312" w:cs="仿宋"/>
          <w:sz w:val="28"/>
          <w:szCs w:val="28"/>
        </w:rPr>
        <w:t>信息，择优选定一家，</w:t>
      </w:r>
      <w:r>
        <w:rPr>
          <w:rFonts w:hint="eastAsia" w:ascii="仿宋_GB2312" w:hAnsi="仿宋" w:eastAsia="仿宋_GB2312" w:cs="仿宋"/>
          <w:sz w:val="28"/>
          <w:szCs w:val="28"/>
          <w:lang w:val="en-US" w:eastAsia="zh-CN"/>
        </w:rPr>
        <w:t>并选择该供应商支持的加油优惠方式，</w:t>
      </w:r>
      <w:r>
        <w:rPr>
          <w:rFonts w:hint="eastAsia" w:ascii="仿宋_GB2312" w:hAnsi="仿宋" w:eastAsia="仿宋_GB2312" w:cs="仿宋"/>
          <w:sz w:val="28"/>
          <w:szCs w:val="28"/>
        </w:rPr>
        <w:t>录入</w:t>
      </w:r>
      <w:r>
        <w:rPr>
          <w:rFonts w:hint="eastAsia" w:ascii="仿宋_GB2312" w:hAnsi="仿宋" w:eastAsia="仿宋_GB2312" w:cs="仿宋"/>
          <w:sz w:val="28"/>
          <w:szCs w:val="28"/>
          <w:lang w:val="en-US" w:eastAsia="zh-CN"/>
        </w:rPr>
        <w:t>加油主卡充值信息（包括加油主卡卡号、充值人、充值人联系方式、加油充值站点、充值日期、充值金额）</w:t>
      </w:r>
      <w:r>
        <w:rPr>
          <w:rFonts w:hint="eastAsia" w:ascii="仿宋_GB2312" w:hAnsi="仿宋" w:eastAsia="仿宋_GB2312" w:cs="仿宋"/>
          <w:sz w:val="28"/>
          <w:szCs w:val="28"/>
        </w:rPr>
        <w:t>。</w:t>
      </w:r>
    </w:p>
    <w:p>
      <w:pPr>
        <w:spacing w:line="580" w:lineRule="exact"/>
        <w:ind w:firstLine="562" w:firstLineChars="200"/>
        <w:jc w:val="left"/>
        <w:rPr>
          <w:rFonts w:hint="eastAsia" w:ascii="仿宋_GB2312" w:hAnsi="仿宋" w:eastAsia="仿宋_GB2312" w:cs="仿宋"/>
          <w:spacing w:val="-7"/>
          <w:sz w:val="28"/>
          <w:szCs w:val="28"/>
        </w:rPr>
      </w:pPr>
      <w:r>
        <w:rPr>
          <w:rFonts w:hint="eastAsia" w:ascii="仿宋_GB2312" w:hAnsi="仿宋" w:eastAsia="仿宋_GB2312" w:cs="仿宋"/>
          <w:b/>
          <w:bCs/>
          <w:sz w:val="28"/>
          <w:szCs w:val="28"/>
          <w:lang w:val="en-US" w:eastAsia="zh-CN"/>
        </w:rPr>
        <w:t>4</w:t>
      </w:r>
      <w:r>
        <w:rPr>
          <w:rFonts w:hint="eastAsia" w:ascii="仿宋_GB2312" w:hAnsi="仿宋" w:eastAsia="仿宋_GB2312" w:cs="仿宋"/>
          <w:b/>
          <w:bCs/>
          <w:sz w:val="28"/>
          <w:szCs w:val="28"/>
        </w:rPr>
        <w:t>.</w:t>
      </w:r>
      <w:r>
        <w:rPr>
          <w:rFonts w:hint="eastAsia" w:ascii="仿宋_GB2312" w:hAnsi="仿宋" w:eastAsia="仿宋_GB2312" w:cs="仿宋"/>
          <w:b/>
          <w:bCs/>
          <w:sz w:val="28"/>
          <w:szCs w:val="28"/>
          <w:lang w:val="en-US" w:eastAsia="zh-CN"/>
        </w:rPr>
        <w:t>供应商确认充值信息</w:t>
      </w:r>
      <w:r>
        <w:rPr>
          <w:rFonts w:hint="eastAsia" w:ascii="仿宋_GB2312" w:hAnsi="仿宋" w:eastAsia="仿宋_GB2312" w:cs="仿宋"/>
          <w:b/>
          <w:bCs/>
          <w:sz w:val="28"/>
          <w:szCs w:val="28"/>
        </w:rPr>
        <w:t>。</w:t>
      </w:r>
      <w:r>
        <w:rPr>
          <w:rFonts w:hint="eastAsia" w:ascii="仿宋_GB2312" w:hAnsi="仿宋" w:eastAsia="仿宋_GB2312" w:cs="仿宋"/>
          <w:b w:val="0"/>
          <w:bCs w:val="0"/>
          <w:sz w:val="28"/>
          <w:szCs w:val="28"/>
          <w:lang w:val="en-US" w:eastAsia="zh-CN"/>
        </w:rPr>
        <w:t>供应商</w:t>
      </w:r>
      <w:r>
        <w:rPr>
          <w:rFonts w:hint="eastAsia" w:ascii="仿宋_GB2312" w:hAnsi="仿宋" w:eastAsia="仿宋_GB2312" w:cs="仿宋"/>
          <w:spacing w:val="-7"/>
          <w:sz w:val="28"/>
          <w:szCs w:val="28"/>
        </w:rPr>
        <w:t>登录网上商城，进入框架协议采购专区，对采购人</w:t>
      </w:r>
      <w:r>
        <w:rPr>
          <w:rFonts w:hint="eastAsia" w:ascii="仿宋_GB2312" w:hAnsi="仿宋" w:eastAsia="仿宋_GB2312" w:cs="仿宋"/>
          <w:spacing w:val="-7"/>
          <w:sz w:val="28"/>
          <w:szCs w:val="28"/>
          <w:lang w:val="en-US" w:eastAsia="zh-CN"/>
        </w:rPr>
        <w:t>录入的加油主卡充值信息进行确认</w:t>
      </w:r>
      <w:r>
        <w:rPr>
          <w:rFonts w:hint="eastAsia" w:ascii="仿宋_GB2312" w:hAnsi="仿宋" w:eastAsia="仿宋_GB2312" w:cs="仿宋"/>
          <w:spacing w:val="-7"/>
          <w:sz w:val="28"/>
          <w:szCs w:val="28"/>
        </w:rPr>
        <w:t>。其中，</w:t>
      </w:r>
      <w:r>
        <w:rPr>
          <w:rFonts w:hint="eastAsia" w:ascii="仿宋_GB2312" w:hAnsi="仿宋" w:eastAsia="仿宋_GB2312" w:cs="仿宋"/>
          <w:spacing w:val="-7"/>
          <w:sz w:val="28"/>
          <w:szCs w:val="28"/>
          <w:lang w:val="en-US" w:eastAsia="zh-CN"/>
        </w:rPr>
        <w:t>加油优惠率</w:t>
      </w:r>
      <w:r>
        <w:rPr>
          <w:rFonts w:hint="eastAsia" w:ascii="仿宋_GB2312" w:hAnsi="仿宋" w:eastAsia="仿宋_GB2312" w:cs="仿宋"/>
          <w:spacing w:val="-7"/>
          <w:sz w:val="28"/>
          <w:szCs w:val="28"/>
        </w:rPr>
        <w:t>执行框架协议一阶段征集入围供应商的报价响应结果。</w:t>
      </w:r>
    </w:p>
    <w:p>
      <w:pPr>
        <w:spacing w:line="580" w:lineRule="exact"/>
        <w:ind w:firstLine="562" w:firstLineChars="200"/>
        <w:jc w:val="left"/>
        <w:rPr>
          <w:rFonts w:hint="eastAsia" w:ascii="仿宋_GB2312" w:hAnsi="仿宋" w:eastAsia="仿宋_GB2312" w:cs="仿宋"/>
          <w:b w:val="0"/>
          <w:bCs/>
          <w:spacing w:val="-7"/>
          <w:kern w:val="2"/>
          <w:sz w:val="28"/>
          <w:szCs w:val="28"/>
          <w:lang w:val="en-US" w:eastAsia="zh-CN" w:bidi="ar-SA"/>
        </w:rPr>
      </w:pPr>
      <w:r>
        <w:rPr>
          <w:rFonts w:hint="eastAsia" w:ascii="仿宋_GB2312" w:hAnsi="仿宋" w:eastAsia="仿宋_GB2312" w:cs="仿宋"/>
          <w:b/>
          <w:bCs/>
          <w:sz w:val="28"/>
          <w:szCs w:val="28"/>
          <w:lang w:val="en-US" w:eastAsia="zh-CN"/>
        </w:rPr>
        <w:t>5</w:t>
      </w:r>
      <w:r>
        <w:rPr>
          <w:rFonts w:hint="eastAsia" w:ascii="仿宋_GB2312" w:hAnsi="仿宋" w:eastAsia="仿宋_GB2312" w:cs="仿宋"/>
          <w:b/>
          <w:bCs/>
          <w:sz w:val="28"/>
          <w:szCs w:val="28"/>
        </w:rPr>
        <w:t>.生成采购凭证。</w:t>
      </w:r>
      <w:r>
        <w:rPr>
          <w:rFonts w:hint="eastAsia" w:ascii="仿宋_GB2312" w:hAnsi="仿宋" w:eastAsia="仿宋_GB2312" w:cs="仿宋"/>
          <w:spacing w:val="-7"/>
          <w:sz w:val="28"/>
          <w:szCs w:val="28"/>
        </w:rPr>
        <w:t>采购人登录预算管理一体化系统中生</w:t>
      </w:r>
      <w:r>
        <w:rPr>
          <w:rFonts w:hint="eastAsia" w:ascii="仿宋_GB2312" w:hAnsi="仿宋" w:eastAsia="仿宋_GB2312" w:cs="仿宋"/>
          <w:spacing w:val="-6"/>
          <w:sz w:val="28"/>
          <w:szCs w:val="28"/>
        </w:rPr>
        <w:t>成公务车辆</w:t>
      </w:r>
      <w:r>
        <w:rPr>
          <w:rFonts w:hint="eastAsia" w:ascii="仿宋_GB2312" w:hAnsi="仿宋" w:eastAsia="仿宋_GB2312" w:cs="仿宋"/>
          <w:spacing w:val="-6"/>
          <w:sz w:val="28"/>
          <w:szCs w:val="28"/>
          <w:lang w:val="en-US" w:eastAsia="zh-CN"/>
        </w:rPr>
        <w:t>加油</w:t>
      </w:r>
      <w:r>
        <w:rPr>
          <w:rFonts w:hint="eastAsia" w:ascii="仿宋_GB2312" w:hAnsi="仿宋" w:eastAsia="仿宋_GB2312" w:cs="仿宋"/>
          <w:spacing w:val="-6"/>
          <w:sz w:val="28"/>
          <w:szCs w:val="28"/>
        </w:rPr>
        <w:t>政府采购凭证。</w:t>
      </w:r>
      <w:r>
        <w:rPr>
          <w:rFonts w:hint="eastAsia" w:ascii="仿宋_GB2312" w:hAnsi="仿宋" w:eastAsia="仿宋_GB2312" w:cs="仿宋"/>
          <w:spacing w:val="-7"/>
          <w:sz w:val="28"/>
          <w:szCs w:val="28"/>
        </w:rPr>
        <w:t>如提前使用公务卡支付，可在采购凭证内录入支付</w:t>
      </w:r>
      <w:r>
        <w:rPr>
          <w:rFonts w:hint="eastAsia" w:ascii="仿宋_GB2312" w:hAnsi="仿宋" w:eastAsia="仿宋_GB2312" w:cs="仿宋"/>
          <w:spacing w:val="-7"/>
          <w:sz w:val="28"/>
          <w:szCs w:val="28"/>
          <w:lang w:val="en-US" w:eastAsia="zh-CN"/>
        </w:rPr>
        <w:t>加油主卡充值</w:t>
      </w:r>
      <w:r>
        <w:rPr>
          <w:rFonts w:hint="eastAsia" w:ascii="仿宋_GB2312" w:hAnsi="仿宋" w:eastAsia="仿宋_GB2312" w:cs="仿宋"/>
          <w:spacing w:val="-7"/>
          <w:sz w:val="28"/>
          <w:szCs w:val="28"/>
        </w:rPr>
        <w:t>费用的公务卡信息（持卡人、开户行、卡号），通过支付系统为公务卡还款。如未提前支付资金，则无需录入公务卡信息，通过支付系统直接向供应商账户</w:t>
      </w:r>
      <w:r>
        <w:rPr>
          <w:rFonts w:hint="eastAsia" w:ascii="仿宋_GB2312" w:hAnsi="仿宋" w:eastAsia="仿宋_GB2312" w:cs="仿宋"/>
          <w:spacing w:val="-7"/>
          <w:sz w:val="28"/>
          <w:szCs w:val="28"/>
          <w:lang w:val="en-US" w:eastAsia="zh-CN"/>
        </w:rPr>
        <w:t>转账</w:t>
      </w:r>
      <w:r>
        <w:rPr>
          <w:rFonts w:hint="eastAsia" w:ascii="仿宋_GB2312" w:hAnsi="仿宋" w:eastAsia="仿宋_GB2312" w:cs="仿宋"/>
          <w:spacing w:val="-7"/>
          <w:sz w:val="28"/>
          <w:szCs w:val="28"/>
        </w:rPr>
        <w:t>支付。</w:t>
      </w:r>
      <w:bookmarkStart w:id="21" w:name="_Toc10952"/>
      <w:r>
        <w:rPr>
          <w:rFonts w:hint="eastAsia" w:ascii="仿宋_GB2312" w:hAnsi="仿宋" w:eastAsia="仿宋_GB2312" w:cs="仿宋"/>
          <w:b w:val="0"/>
          <w:bCs/>
          <w:spacing w:val="-7"/>
          <w:kern w:val="2"/>
          <w:sz w:val="28"/>
          <w:szCs w:val="28"/>
          <w:lang w:val="en-US" w:eastAsia="zh-CN" w:bidi="ar-SA"/>
        </w:rPr>
        <w:t>采购人将加油主卡充值发票及车辆加油政府采购凭证作为财务报销原始凭据和政府采购凭据留存。</w:t>
      </w:r>
      <w:bookmarkEnd w:id="21"/>
    </w:p>
    <w:p>
      <w:pPr>
        <w:spacing w:line="580" w:lineRule="exact"/>
        <w:ind w:firstLine="534" w:firstLineChars="200"/>
        <w:jc w:val="left"/>
        <w:rPr>
          <w:rFonts w:hint="default" w:ascii="仿宋_GB2312" w:hAnsi="仿宋" w:eastAsia="仿宋_GB2312" w:cs="仿宋"/>
          <w:b w:val="0"/>
          <w:bCs/>
          <w:spacing w:val="-7"/>
          <w:kern w:val="2"/>
          <w:sz w:val="28"/>
          <w:szCs w:val="28"/>
          <w:lang w:val="en-US" w:eastAsia="zh-CN" w:bidi="ar-SA"/>
        </w:rPr>
      </w:pPr>
      <w:r>
        <w:rPr>
          <w:rFonts w:hint="eastAsia" w:ascii="仿宋_GB2312" w:hAnsi="仿宋" w:eastAsia="仿宋_GB2312" w:cs="仿宋"/>
          <w:b/>
          <w:bCs w:val="0"/>
          <w:spacing w:val="-7"/>
          <w:kern w:val="2"/>
          <w:sz w:val="28"/>
          <w:szCs w:val="28"/>
          <w:lang w:val="en-US" w:eastAsia="zh-CN" w:bidi="ar-SA"/>
        </w:rPr>
        <w:t>6.加油消费。</w:t>
      </w:r>
      <w:r>
        <w:rPr>
          <w:rFonts w:hint="eastAsia" w:ascii="仿宋_GB2312" w:hAnsi="仿宋" w:eastAsia="仿宋_GB2312" w:cs="仿宋"/>
          <w:b w:val="0"/>
          <w:bCs/>
          <w:spacing w:val="-7"/>
          <w:kern w:val="2"/>
          <w:sz w:val="28"/>
          <w:szCs w:val="28"/>
          <w:lang w:val="en-US" w:eastAsia="zh-CN" w:bidi="ar-SA"/>
        </w:rPr>
        <w:t>采购人在加油充值时选择供应商支持的任意一种优惠方式，</w:t>
      </w:r>
      <w:r>
        <w:rPr>
          <w:rFonts w:hint="default" w:ascii="仿宋_GB2312" w:hAnsi="仿宋" w:eastAsia="仿宋_GB2312" w:cs="仿宋"/>
          <w:spacing w:val="-7"/>
          <w:sz w:val="28"/>
          <w:szCs w:val="28"/>
          <w:lang w:val="en-US" w:eastAsia="zh-CN"/>
        </w:rPr>
        <w:t>实际充值金额即是采购成交金额。充值后再向副卡分配资金使用，采购人持副卡在</w:t>
      </w:r>
      <w:r>
        <w:rPr>
          <w:rFonts w:hint="eastAsia" w:ascii="仿宋_GB2312" w:hAnsi="仿宋" w:eastAsia="仿宋_GB2312" w:cs="仿宋"/>
          <w:spacing w:val="-7"/>
          <w:sz w:val="28"/>
          <w:szCs w:val="28"/>
          <w:lang w:val="en-US" w:eastAsia="zh-CN"/>
        </w:rPr>
        <w:t>入围供应商</w:t>
      </w:r>
      <w:r>
        <w:rPr>
          <w:rFonts w:hint="default" w:ascii="仿宋_GB2312" w:hAnsi="仿宋" w:eastAsia="仿宋_GB2312" w:cs="仿宋"/>
          <w:spacing w:val="-7"/>
          <w:sz w:val="28"/>
          <w:szCs w:val="28"/>
          <w:lang w:val="en-US" w:eastAsia="zh-CN"/>
        </w:rPr>
        <w:t>任意站点加油消费。</w:t>
      </w:r>
      <w:r>
        <w:rPr>
          <w:rFonts w:hint="eastAsia" w:ascii="仿宋_GB2312" w:hAnsi="仿宋" w:eastAsia="仿宋_GB2312" w:cs="仿宋"/>
          <w:spacing w:val="-7"/>
          <w:sz w:val="28"/>
          <w:szCs w:val="28"/>
          <w:lang w:val="en-US" w:eastAsia="zh-CN"/>
        </w:rPr>
        <w:t>具体优惠方式包括：</w:t>
      </w:r>
    </w:p>
    <w:p>
      <w:pPr>
        <w:ind w:firstLine="480"/>
        <w:jc w:val="left"/>
        <w:rPr>
          <w:rFonts w:hint="default" w:ascii="仿宋_GB2312" w:hAnsi="仿宋" w:eastAsia="仿宋_GB2312" w:cs="仿宋"/>
          <w:spacing w:val="-7"/>
          <w:sz w:val="28"/>
          <w:szCs w:val="28"/>
          <w:lang w:val="en-US" w:eastAsia="zh-CN"/>
        </w:rPr>
      </w:pPr>
      <w:r>
        <w:rPr>
          <w:rFonts w:hint="default" w:ascii="仿宋_GB2312" w:hAnsi="仿宋" w:eastAsia="仿宋_GB2312" w:cs="仿宋"/>
          <w:spacing w:val="-7"/>
          <w:sz w:val="28"/>
          <w:szCs w:val="28"/>
          <w:lang w:val="en-US" w:eastAsia="zh-CN"/>
        </w:rPr>
        <w:t>充值立减：实际充值金额=主卡到账金额*（1-优惠率）</w:t>
      </w:r>
      <w:r>
        <w:rPr>
          <w:rFonts w:hint="eastAsia" w:ascii="仿宋_GB2312" w:hAnsi="仿宋" w:eastAsia="仿宋_GB2312" w:cs="仿宋"/>
          <w:spacing w:val="-7"/>
          <w:sz w:val="28"/>
          <w:szCs w:val="28"/>
          <w:lang w:val="en-US" w:eastAsia="zh-CN"/>
        </w:rPr>
        <w:t>，</w:t>
      </w:r>
      <w:r>
        <w:rPr>
          <w:rFonts w:hint="default" w:ascii="仿宋_GB2312" w:hAnsi="仿宋" w:eastAsia="仿宋_GB2312" w:cs="仿宋"/>
          <w:spacing w:val="-7"/>
          <w:sz w:val="28"/>
          <w:szCs w:val="28"/>
          <w:lang w:val="en-US" w:eastAsia="zh-CN"/>
        </w:rPr>
        <w:t>充值时</w:t>
      </w:r>
      <w:r>
        <w:rPr>
          <w:rFonts w:hint="eastAsia" w:ascii="仿宋_GB2312" w:hAnsi="仿宋" w:eastAsia="仿宋_GB2312" w:cs="仿宋"/>
          <w:spacing w:val="-7"/>
          <w:sz w:val="28"/>
          <w:szCs w:val="28"/>
          <w:lang w:val="en-US" w:eastAsia="zh-CN"/>
        </w:rPr>
        <w:t>，</w:t>
      </w:r>
      <w:r>
        <w:rPr>
          <w:rFonts w:hint="default" w:ascii="仿宋_GB2312" w:hAnsi="仿宋" w:eastAsia="仿宋_GB2312" w:cs="仿宋"/>
          <w:spacing w:val="-7"/>
          <w:sz w:val="28"/>
          <w:szCs w:val="28"/>
          <w:lang w:val="en-US" w:eastAsia="zh-CN"/>
        </w:rPr>
        <w:t>在</w:t>
      </w:r>
      <w:r>
        <w:rPr>
          <w:rFonts w:hint="eastAsia" w:ascii="仿宋_GB2312" w:hAnsi="仿宋" w:eastAsia="仿宋_GB2312" w:cs="仿宋"/>
          <w:spacing w:val="-7"/>
          <w:sz w:val="28"/>
          <w:szCs w:val="28"/>
          <w:lang w:val="en-US" w:eastAsia="zh-CN"/>
        </w:rPr>
        <w:t>主卡到账金额基础上，</w:t>
      </w:r>
      <w:r>
        <w:rPr>
          <w:rFonts w:hint="default" w:ascii="仿宋_GB2312" w:hAnsi="仿宋" w:eastAsia="仿宋_GB2312" w:cs="仿宋"/>
          <w:spacing w:val="-7"/>
          <w:sz w:val="28"/>
          <w:szCs w:val="28"/>
          <w:lang w:val="en-US" w:eastAsia="zh-CN"/>
        </w:rPr>
        <w:t>按照框架协议</w:t>
      </w:r>
      <w:r>
        <w:rPr>
          <w:rFonts w:hint="eastAsia" w:ascii="仿宋_GB2312" w:hAnsi="仿宋" w:eastAsia="仿宋_GB2312" w:cs="仿宋"/>
          <w:spacing w:val="-7"/>
          <w:sz w:val="28"/>
          <w:szCs w:val="28"/>
          <w:lang w:val="en-US" w:eastAsia="zh-CN"/>
        </w:rPr>
        <w:t>一阶段征集入围</w:t>
      </w:r>
      <w:r>
        <w:rPr>
          <w:rFonts w:hint="default" w:ascii="仿宋_GB2312" w:hAnsi="仿宋" w:eastAsia="仿宋_GB2312" w:cs="仿宋"/>
          <w:spacing w:val="-7"/>
          <w:sz w:val="28"/>
          <w:szCs w:val="28"/>
          <w:lang w:val="en-US" w:eastAsia="zh-CN"/>
        </w:rPr>
        <w:t>确定的优惠率给予</w:t>
      </w:r>
      <w:r>
        <w:rPr>
          <w:rFonts w:hint="eastAsia" w:ascii="仿宋_GB2312" w:hAnsi="仿宋" w:eastAsia="仿宋_GB2312" w:cs="仿宋"/>
          <w:spacing w:val="-7"/>
          <w:sz w:val="28"/>
          <w:szCs w:val="28"/>
          <w:lang w:val="en-US" w:eastAsia="zh-CN"/>
        </w:rPr>
        <w:t>充值优惠</w:t>
      </w:r>
      <w:r>
        <w:rPr>
          <w:rFonts w:hint="default" w:ascii="仿宋_GB2312" w:hAnsi="仿宋" w:eastAsia="仿宋_GB2312" w:cs="仿宋"/>
          <w:spacing w:val="-7"/>
          <w:sz w:val="28"/>
          <w:szCs w:val="28"/>
          <w:lang w:val="en-US" w:eastAsia="zh-CN"/>
        </w:rPr>
        <w:t>。凭加油副卡加油消费，按入围供应商当期公开的市场零售价格计算消费金额。</w:t>
      </w:r>
    </w:p>
    <w:p>
      <w:pPr>
        <w:ind w:firstLine="480"/>
        <w:jc w:val="left"/>
        <w:rPr>
          <w:rFonts w:hint="default" w:ascii="仿宋_GB2312" w:hAnsi="仿宋" w:eastAsia="仿宋_GB2312" w:cs="仿宋"/>
          <w:spacing w:val="-7"/>
          <w:sz w:val="28"/>
          <w:szCs w:val="28"/>
          <w:lang w:val="en-US" w:eastAsia="zh-CN"/>
        </w:rPr>
      </w:pPr>
      <w:r>
        <w:rPr>
          <w:rFonts w:hint="default" w:ascii="仿宋_GB2312" w:hAnsi="仿宋" w:eastAsia="仿宋_GB2312" w:cs="仿宋"/>
          <w:spacing w:val="-7"/>
          <w:sz w:val="28"/>
          <w:szCs w:val="28"/>
          <w:lang w:val="en-US" w:eastAsia="zh-CN"/>
        </w:rPr>
        <w:t>消费立减：实际充值金额=主卡到账金额。凭加油副卡加油消费，在入围供应商当期公开的市场零售价格</w:t>
      </w:r>
      <w:r>
        <w:rPr>
          <w:rFonts w:hint="eastAsia" w:ascii="仿宋_GB2312" w:hAnsi="仿宋" w:eastAsia="仿宋_GB2312" w:cs="仿宋"/>
          <w:spacing w:val="-7"/>
          <w:sz w:val="28"/>
          <w:szCs w:val="28"/>
          <w:lang w:val="en-US" w:eastAsia="zh-CN"/>
        </w:rPr>
        <w:t>（当期公开的市场促销优惠价格）</w:t>
      </w:r>
      <w:r>
        <w:rPr>
          <w:rFonts w:hint="default" w:ascii="仿宋_GB2312" w:hAnsi="仿宋" w:eastAsia="仿宋_GB2312" w:cs="仿宋"/>
          <w:spacing w:val="-7"/>
          <w:sz w:val="28"/>
          <w:szCs w:val="28"/>
          <w:lang w:val="en-US" w:eastAsia="zh-CN"/>
        </w:rPr>
        <w:t>基础上按照框架协议</w:t>
      </w:r>
      <w:r>
        <w:rPr>
          <w:rFonts w:hint="eastAsia" w:ascii="仿宋_GB2312" w:hAnsi="仿宋" w:eastAsia="仿宋_GB2312" w:cs="仿宋"/>
          <w:spacing w:val="-7"/>
          <w:sz w:val="28"/>
          <w:szCs w:val="28"/>
          <w:lang w:val="en-US" w:eastAsia="zh-CN"/>
        </w:rPr>
        <w:t>一阶段征集入围</w:t>
      </w:r>
      <w:r>
        <w:rPr>
          <w:rFonts w:hint="default" w:ascii="仿宋_GB2312" w:hAnsi="仿宋" w:eastAsia="仿宋_GB2312" w:cs="仿宋"/>
          <w:spacing w:val="-7"/>
          <w:sz w:val="28"/>
          <w:szCs w:val="28"/>
          <w:lang w:val="en-US" w:eastAsia="zh-CN"/>
        </w:rPr>
        <w:t>确定的优惠率给予价格优惠。</w:t>
      </w:r>
    </w:p>
    <w:p>
      <w:pPr>
        <w:ind w:firstLine="480"/>
        <w:jc w:val="left"/>
        <w:rPr>
          <w:rFonts w:hint="default" w:ascii="仿宋_GB2312" w:hAnsi="仿宋" w:eastAsia="仿宋_GB2312" w:cs="仿宋"/>
          <w:spacing w:val="-7"/>
          <w:sz w:val="28"/>
          <w:szCs w:val="28"/>
          <w:lang w:val="en-US" w:eastAsia="zh-CN"/>
        </w:rPr>
      </w:pPr>
      <w:r>
        <w:rPr>
          <w:rFonts w:hint="default" w:ascii="仿宋_GB2312" w:hAnsi="仿宋" w:eastAsia="仿宋_GB2312" w:cs="仿宋"/>
          <w:spacing w:val="-7"/>
          <w:sz w:val="28"/>
          <w:szCs w:val="28"/>
          <w:lang w:val="en-US" w:eastAsia="zh-CN"/>
        </w:rPr>
        <w:t>充值返现：实际充值金额=主卡到账金额/（1+优惠率）</w:t>
      </w:r>
      <w:r>
        <w:rPr>
          <w:rFonts w:hint="eastAsia" w:ascii="仿宋_GB2312" w:hAnsi="仿宋" w:eastAsia="仿宋_GB2312" w:cs="仿宋"/>
          <w:spacing w:val="-7"/>
          <w:sz w:val="28"/>
          <w:szCs w:val="28"/>
          <w:lang w:val="en-US" w:eastAsia="zh-CN"/>
        </w:rPr>
        <w:t>，充值时，</w:t>
      </w:r>
      <w:r>
        <w:rPr>
          <w:rFonts w:hint="default" w:ascii="仿宋_GB2312" w:hAnsi="仿宋" w:eastAsia="仿宋_GB2312" w:cs="仿宋"/>
          <w:spacing w:val="-7"/>
          <w:sz w:val="28"/>
          <w:szCs w:val="28"/>
          <w:lang w:val="en-US" w:eastAsia="zh-CN"/>
        </w:rPr>
        <w:t>在</w:t>
      </w:r>
      <w:r>
        <w:rPr>
          <w:rFonts w:hint="eastAsia" w:ascii="仿宋_GB2312" w:hAnsi="仿宋" w:eastAsia="仿宋_GB2312" w:cs="仿宋"/>
          <w:spacing w:val="-7"/>
          <w:sz w:val="28"/>
          <w:szCs w:val="28"/>
          <w:lang w:val="en-US" w:eastAsia="zh-CN"/>
        </w:rPr>
        <w:t>实际充值金额</w:t>
      </w:r>
      <w:r>
        <w:rPr>
          <w:rFonts w:hint="default" w:ascii="仿宋_GB2312" w:hAnsi="仿宋" w:eastAsia="仿宋_GB2312" w:cs="仿宋"/>
          <w:spacing w:val="-7"/>
          <w:sz w:val="28"/>
          <w:szCs w:val="28"/>
          <w:lang w:val="en-US" w:eastAsia="zh-CN"/>
        </w:rPr>
        <w:t>基础上按照框架协议</w:t>
      </w:r>
      <w:r>
        <w:rPr>
          <w:rFonts w:hint="eastAsia" w:ascii="仿宋_GB2312" w:hAnsi="仿宋" w:eastAsia="仿宋_GB2312" w:cs="仿宋"/>
          <w:spacing w:val="-7"/>
          <w:sz w:val="28"/>
          <w:szCs w:val="28"/>
          <w:lang w:val="en-US" w:eastAsia="zh-CN"/>
        </w:rPr>
        <w:t>一阶段征集入围</w:t>
      </w:r>
      <w:r>
        <w:rPr>
          <w:rFonts w:hint="default" w:ascii="仿宋_GB2312" w:hAnsi="仿宋" w:eastAsia="仿宋_GB2312" w:cs="仿宋"/>
          <w:spacing w:val="-7"/>
          <w:sz w:val="28"/>
          <w:szCs w:val="28"/>
          <w:lang w:val="en-US" w:eastAsia="zh-CN"/>
        </w:rPr>
        <w:t>确定的优惠率给予返现优惠，以积分或资金形式返现到加油卡中。凭加油副卡加油消费，按入围供应商当期公开的市场零售价格计算消费金额。</w:t>
      </w:r>
    </w:p>
    <w:p>
      <w:pPr>
        <w:ind w:firstLine="480"/>
        <w:jc w:val="left"/>
        <w:rPr>
          <w:rFonts w:hint="eastAsia" w:ascii="黑体" w:hAnsi="黑体" w:eastAsia="黑体" w:cs="黑体"/>
          <w:sz w:val="32"/>
          <w:szCs w:val="32"/>
          <w:lang w:val="en-US" w:eastAsia="zh-CN"/>
        </w:rPr>
      </w:pPr>
      <w:r>
        <w:rPr>
          <w:rFonts w:hint="default" w:ascii="仿宋_GB2312" w:hAnsi="仿宋" w:eastAsia="仿宋_GB2312" w:cs="仿宋"/>
          <w:spacing w:val="-7"/>
          <w:sz w:val="28"/>
          <w:szCs w:val="28"/>
          <w:lang w:val="en-US" w:eastAsia="zh-CN"/>
        </w:rPr>
        <w:t>消费返现：实际充值金额=主卡到账金额。凭加油副卡加油消费，在入围供应商当期公开的市场零售价格</w:t>
      </w:r>
      <w:r>
        <w:rPr>
          <w:rFonts w:hint="eastAsia" w:ascii="仿宋_GB2312" w:hAnsi="仿宋" w:eastAsia="仿宋_GB2312" w:cs="仿宋"/>
          <w:spacing w:val="-7"/>
          <w:sz w:val="28"/>
          <w:szCs w:val="28"/>
          <w:lang w:val="en-US" w:eastAsia="zh-CN"/>
        </w:rPr>
        <w:t>（当期公开的市场促销优惠价格）</w:t>
      </w:r>
      <w:r>
        <w:rPr>
          <w:rFonts w:hint="default" w:ascii="仿宋_GB2312" w:hAnsi="仿宋" w:eastAsia="仿宋_GB2312" w:cs="仿宋"/>
          <w:spacing w:val="-7"/>
          <w:sz w:val="28"/>
          <w:szCs w:val="28"/>
          <w:lang w:val="en-US" w:eastAsia="zh-CN"/>
        </w:rPr>
        <w:t>基础上按照框架协议</w:t>
      </w:r>
      <w:r>
        <w:rPr>
          <w:rFonts w:hint="eastAsia" w:ascii="仿宋_GB2312" w:hAnsi="仿宋" w:eastAsia="仿宋_GB2312" w:cs="仿宋"/>
          <w:spacing w:val="-7"/>
          <w:sz w:val="28"/>
          <w:szCs w:val="28"/>
          <w:lang w:val="en-US" w:eastAsia="zh-CN"/>
        </w:rPr>
        <w:t>一阶段征集入围</w:t>
      </w:r>
      <w:r>
        <w:rPr>
          <w:rFonts w:hint="default" w:ascii="仿宋_GB2312" w:hAnsi="仿宋" w:eastAsia="仿宋_GB2312" w:cs="仿宋"/>
          <w:spacing w:val="-7"/>
          <w:sz w:val="28"/>
          <w:szCs w:val="28"/>
          <w:lang w:val="en-US" w:eastAsia="zh-CN"/>
        </w:rPr>
        <w:t>确定的优惠率给予返现优惠，以积分或资金形式返现到加油卡中。</w:t>
      </w:r>
      <w:r>
        <w:rPr>
          <w:rFonts w:hint="eastAsia" w:ascii="黑体" w:hAnsi="黑体" w:eastAsia="黑体" w:cs="黑体"/>
          <w:sz w:val="32"/>
          <w:szCs w:val="32"/>
          <w:lang w:val="en-US" w:eastAsia="zh-CN"/>
        </w:rPr>
        <w:br w:type="page"/>
      </w:r>
    </w:p>
    <w:p>
      <w:pPr>
        <w:pStyle w:val="12"/>
        <w:numPr>
          <w:ilvl w:val="0"/>
          <w:numId w:val="0"/>
        </w:numPr>
        <w:ind w:firstLine="562" w:firstLineChars="200"/>
        <w:rPr>
          <w:rFonts w:hint="eastAsia" w:ascii="黑体" w:hAnsi="黑体" w:eastAsia="黑体" w:cs="黑体"/>
          <w:sz w:val="32"/>
          <w:szCs w:val="32"/>
          <w:lang w:val="en-US" w:eastAsia="zh-CN"/>
        </w:rPr>
      </w:pPr>
      <w:bookmarkStart w:id="22" w:name="_Toc28687"/>
      <w:bookmarkStart w:id="23" w:name="_Toc10364"/>
      <w:r>
        <w:rPr>
          <w:rFonts w:hint="eastAsia" w:ascii="黑体" w:hAnsi="黑体" w:eastAsia="黑体" w:cs="黑体"/>
          <w:szCs w:val="28"/>
        </w:rPr>
        <w:t>二、操作指南</w:t>
      </w:r>
      <w:bookmarkEnd w:id="22"/>
      <w:bookmarkEnd w:id="23"/>
    </w:p>
    <w:p>
      <w:pPr>
        <w:pStyle w:val="12"/>
        <w:numPr>
          <w:ilvl w:val="0"/>
          <w:numId w:val="0"/>
        </w:numPr>
        <w:bidi w:val="0"/>
        <w:ind w:firstLine="562" w:firstLineChars="200"/>
        <w:rPr>
          <w:rFonts w:hint="eastAsia" w:ascii="仿宋_GB2312" w:hAnsi="仿宋" w:eastAsia="仿宋_GB2312" w:cs="仿宋"/>
          <w:b/>
          <w:bCs/>
          <w:kern w:val="2"/>
          <w:sz w:val="28"/>
          <w:szCs w:val="28"/>
          <w:lang w:val="en-US" w:eastAsia="zh-CN" w:bidi="ar-SA"/>
        </w:rPr>
      </w:pPr>
      <w:bookmarkStart w:id="24" w:name="_Toc16010"/>
      <w:r>
        <w:rPr>
          <w:rFonts w:hint="eastAsia" w:ascii="仿宋_GB2312" w:hAnsi="仿宋" w:eastAsia="仿宋_GB2312" w:cs="仿宋"/>
          <w:b/>
          <w:bCs/>
          <w:kern w:val="2"/>
          <w:sz w:val="28"/>
          <w:szCs w:val="28"/>
          <w:lang w:val="en-US" w:eastAsia="zh-CN" w:bidi="ar-SA"/>
        </w:rPr>
        <w:t>1.用户登录</w:t>
      </w:r>
      <w:bookmarkEnd w:id="24"/>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t>输入网址http://www.ccgp-shandong.gov.cn进入山东政府采购网，点击右边</w:t>
      </w:r>
      <w:r>
        <w:rPr>
          <w:rFonts w:hint="eastAsia" w:ascii="仿宋_GB2312" w:hAnsi="仿宋" w:eastAsia="仿宋_GB2312" w:cs="仿宋"/>
          <w:spacing w:val="-7"/>
          <w:sz w:val="28"/>
          <w:szCs w:val="28"/>
          <w:lang w:eastAsia="zh-CN"/>
        </w:rPr>
        <w:t>【</w:t>
      </w:r>
      <w:r>
        <w:rPr>
          <w:rFonts w:hint="eastAsia" w:ascii="仿宋_GB2312" w:hAnsi="仿宋" w:eastAsia="仿宋_GB2312" w:cs="仿宋"/>
          <w:spacing w:val="-7"/>
          <w:sz w:val="28"/>
          <w:szCs w:val="28"/>
        </w:rPr>
        <w:t>网上商城</w:t>
      </w:r>
      <w:r>
        <w:rPr>
          <w:rFonts w:hint="eastAsia" w:ascii="仿宋_GB2312" w:hAnsi="仿宋" w:eastAsia="仿宋_GB2312" w:cs="仿宋"/>
          <w:spacing w:val="-7"/>
          <w:sz w:val="28"/>
          <w:szCs w:val="28"/>
          <w:lang w:eastAsia="zh-CN"/>
        </w:rPr>
        <w:t>】</w:t>
      </w:r>
      <w:r>
        <w:rPr>
          <w:rFonts w:hint="eastAsia" w:ascii="仿宋_GB2312" w:hAnsi="仿宋" w:eastAsia="仿宋_GB2312" w:cs="仿宋"/>
          <w:spacing w:val="-7"/>
          <w:sz w:val="28"/>
          <w:szCs w:val="28"/>
        </w:rPr>
        <w:t>栏目，或直接输入http://ggzyjyzx.shandong.gov.cn/wssc/sdszfcg/进入网上商城。</w:t>
      </w:r>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t>注意：网上商城采购人账号密码与山东政府采购信息公开平台的账号密码一致，如需修改账号密码，或忘记密码找回，请到山东政府采购信息公开平台系统中操作，网上商城不提供账号密码修改、找回功能。</w:t>
      </w:r>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drawing>
          <wp:inline distT="0" distB="0" distL="114300" distR="114300">
            <wp:extent cx="5267325" cy="3141345"/>
            <wp:effectExtent l="0" t="0" r="3175" b="1905"/>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6" cstate="print"/>
                    <a:stretch>
                      <a:fillRect/>
                    </a:stretch>
                  </pic:blipFill>
                  <pic:spPr>
                    <a:xfrm>
                      <a:off x="0" y="0"/>
                      <a:ext cx="5267325" cy="314134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eastAsia="zh-CN"/>
        </w:rPr>
      </w:pPr>
      <w:r>
        <w:rPr>
          <w:rFonts w:hint="eastAsia" w:ascii="仿宋_GB2312" w:hAnsi="仿宋" w:eastAsia="仿宋_GB2312" w:cs="仿宋"/>
          <w:spacing w:val="-7"/>
          <w:sz w:val="28"/>
          <w:szCs w:val="28"/>
        </w:rPr>
        <w:t>进入商城首页后，登录时选择采购人角色和对应的地区，输入用户名和密码（与山东政府采购信息公开平台的账号密码一致），输入验证码后点击</w:t>
      </w:r>
      <w:r>
        <w:rPr>
          <w:rFonts w:hint="eastAsia" w:ascii="仿宋_GB2312" w:hAnsi="仿宋" w:eastAsia="仿宋_GB2312" w:cs="仿宋"/>
          <w:spacing w:val="-7"/>
          <w:sz w:val="28"/>
          <w:szCs w:val="28"/>
          <w:lang w:eastAsia="zh-CN"/>
        </w:rPr>
        <w:t>【</w:t>
      </w:r>
      <w:r>
        <w:rPr>
          <w:rFonts w:hint="eastAsia" w:ascii="仿宋_GB2312" w:hAnsi="仿宋" w:eastAsia="仿宋_GB2312" w:cs="仿宋"/>
          <w:spacing w:val="-7"/>
          <w:sz w:val="28"/>
          <w:szCs w:val="28"/>
        </w:rPr>
        <w:t>登录</w:t>
      </w:r>
      <w:r>
        <w:rPr>
          <w:rFonts w:hint="eastAsia" w:ascii="仿宋_GB2312" w:hAnsi="仿宋" w:eastAsia="仿宋_GB2312" w:cs="仿宋"/>
          <w:spacing w:val="-7"/>
          <w:sz w:val="28"/>
          <w:szCs w:val="28"/>
          <w:lang w:eastAsia="zh-CN"/>
        </w:rPr>
        <w:t>】</w:t>
      </w:r>
      <w:r>
        <w:rPr>
          <w:rFonts w:hint="eastAsia" w:ascii="仿宋_GB2312" w:hAnsi="仿宋" w:eastAsia="仿宋_GB2312" w:cs="仿宋"/>
          <w:spacing w:val="-7"/>
          <w:sz w:val="28"/>
          <w:szCs w:val="28"/>
        </w:rPr>
        <w:t>，进入系统</w:t>
      </w:r>
      <w:r>
        <w:rPr>
          <w:rFonts w:hint="eastAsia" w:ascii="仿宋_GB2312" w:hAnsi="仿宋" w:eastAsia="仿宋_GB2312" w:cs="仿宋"/>
          <w:spacing w:val="-7"/>
          <w:sz w:val="28"/>
          <w:szCs w:val="28"/>
          <w:lang w:eastAsia="zh-CN"/>
        </w:rPr>
        <w:t>。</w:t>
      </w:r>
    </w:p>
    <w:p>
      <w:pPr>
        <w:ind w:firstLine="480"/>
        <w:jc w:val="left"/>
        <w:rPr>
          <w:rFonts w:hint="eastAsia" w:ascii="仿宋_GB2312" w:hAnsi="仿宋" w:eastAsia="仿宋_GB2312" w:cs="仿宋"/>
          <w:spacing w:val="-7"/>
          <w:sz w:val="28"/>
          <w:szCs w:val="28"/>
        </w:rPr>
      </w:pPr>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drawing>
          <wp:inline distT="0" distB="0" distL="114300" distR="114300">
            <wp:extent cx="5264785" cy="3364865"/>
            <wp:effectExtent l="0" t="0" r="5715" b="63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5264785" cy="336486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7325" cy="2332990"/>
            <wp:effectExtent l="0" t="0" r="3175" b="635"/>
            <wp:docPr id="2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pic:cNvPicPr>
                      <a:picLocks noChangeAspect="1"/>
                    </pic:cNvPicPr>
                  </pic:nvPicPr>
                  <pic:blipFill>
                    <a:blip r:embed="rId8" cstate="print"/>
                    <a:stretch>
                      <a:fillRect/>
                    </a:stretch>
                  </pic:blipFill>
                  <pic:spPr>
                    <a:xfrm>
                      <a:off x="0" y="0"/>
                      <a:ext cx="5267325" cy="2332990"/>
                    </a:xfrm>
                    <a:prstGeom prst="rect">
                      <a:avLst/>
                    </a:prstGeom>
                    <a:noFill/>
                    <a:ln>
                      <a:noFill/>
                    </a:ln>
                  </pic:spPr>
                </pic:pic>
              </a:graphicData>
            </a:graphic>
          </wp:inline>
        </w:drawing>
      </w:r>
    </w:p>
    <w:p>
      <w:pPr>
        <w:ind w:firstLine="480"/>
        <w:jc w:val="left"/>
        <w:rPr>
          <w:rFonts w:hint="default"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登录商城后，点击导航栏的【框架协议采购】，可进入框架协议采购专区。</w:t>
      </w:r>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drawing>
          <wp:inline distT="0" distB="0" distL="114300" distR="114300">
            <wp:extent cx="5266690" cy="2312670"/>
            <wp:effectExtent l="0" t="0" r="381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a:stretch>
                      <a:fillRect/>
                    </a:stretch>
                  </pic:blipFill>
                  <pic:spPr>
                    <a:xfrm>
                      <a:off x="0" y="0"/>
                      <a:ext cx="5266690" cy="2312670"/>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lang w:val="en-US" w:eastAsia="zh-CN"/>
        </w:rPr>
        <w:t>点击【框架协议】，可跳转至框架协议后台。</w:t>
      </w:r>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drawing>
          <wp:inline distT="0" distB="0" distL="114300" distR="114300">
            <wp:extent cx="5266690" cy="2493645"/>
            <wp:effectExtent l="0" t="0" r="381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10"/>
                    <a:stretch>
                      <a:fillRect/>
                    </a:stretch>
                  </pic:blipFill>
                  <pic:spPr>
                    <a:xfrm>
                      <a:off x="0" y="0"/>
                      <a:ext cx="5266690" cy="2493645"/>
                    </a:xfrm>
                    <a:prstGeom prst="rect">
                      <a:avLst/>
                    </a:prstGeom>
                    <a:noFill/>
                    <a:ln>
                      <a:noFill/>
                    </a:ln>
                  </pic:spPr>
                </pic:pic>
              </a:graphicData>
            </a:graphic>
          </wp:inline>
        </w:drawing>
      </w:r>
    </w:p>
    <w:p>
      <w:pPr>
        <w:pStyle w:val="12"/>
        <w:numPr>
          <w:ilvl w:val="0"/>
          <w:numId w:val="0"/>
        </w:numPr>
        <w:bidi w:val="0"/>
        <w:ind w:firstLine="562" w:firstLineChars="200"/>
        <w:rPr>
          <w:rFonts w:hint="eastAsia" w:ascii="仿宋_GB2312" w:hAnsi="仿宋" w:eastAsia="仿宋_GB2312" w:cs="仿宋"/>
          <w:b/>
          <w:bCs/>
          <w:kern w:val="2"/>
          <w:sz w:val="28"/>
          <w:szCs w:val="28"/>
          <w:lang w:val="en-US" w:eastAsia="zh-CN" w:bidi="ar-SA"/>
        </w:rPr>
      </w:pPr>
      <w:bookmarkStart w:id="25" w:name="_Toc7028"/>
      <w:r>
        <w:rPr>
          <w:rFonts w:hint="eastAsia" w:ascii="仿宋_GB2312" w:hAnsi="仿宋" w:eastAsia="仿宋_GB2312" w:cs="仿宋"/>
          <w:b/>
          <w:bCs/>
          <w:kern w:val="2"/>
          <w:sz w:val="28"/>
          <w:szCs w:val="28"/>
          <w:lang w:val="en-US" w:eastAsia="zh-CN" w:bidi="ar-SA"/>
        </w:rPr>
        <w:t>2.编制采购计划</w:t>
      </w:r>
      <w:bookmarkEnd w:id="25"/>
    </w:p>
    <w:p>
      <w:pPr>
        <w:keepNext w:val="0"/>
        <w:keepLines w:val="0"/>
        <w:widowControl/>
        <w:suppressLineNumbers w:val="0"/>
        <w:ind w:firstLine="532" w:firstLineChars="20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t>采购人通过预算管理一体化系统的政府采购模块中编制车辆</w:t>
      </w:r>
      <w:r>
        <w:rPr>
          <w:rFonts w:hint="eastAsia" w:ascii="仿宋_GB2312" w:hAnsi="仿宋" w:eastAsia="仿宋_GB2312" w:cs="仿宋"/>
          <w:spacing w:val="-7"/>
          <w:sz w:val="28"/>
          <w:szCs w:val="28"/>
          <w:lang w:val="en-US" w:eastAsia="zh-CN"/>
        </w:rPr>
        <w:t>加油</w:t>
      </w:r>
      <w:r>
        <w:rPr>
          <w:rFonts w:hint="eastAsia" w:ascii="仿宋_GB2312" w:hAnsi="仿宋" w:eastAsia="仿宋_GB2312" w:cs="仿宋"/>
          <w:spacing w:val="-7"/>
          <w:sz w:val="28"/>
          <w:szCs w:val="28"/>
        </w:rPr>
        <w:t>采购计划，采购方式选择框架协议二阶段采购，政府采购品目为“</w:t>
      </w:r>
      <w:r>
        <w:rPr>
          <w:rFonts w:hint="eastAsia" w:ascii="仿宋_GB2312" w:hAnsi="仿宋" w:eastAsia="仿宋_GB2312" w:cs="仿宋"/>
          <w:spacing w:val="-7"/>
          <w:sz w:val="28"/>
          <w:szCs w:val="28"/>
          <w:lang w:val="en-US" w:eastAsia="zh-CN"/>
        </w:rPr>
        <w:t>车辆加油、添加燃料</w:t>
      </w:r>
      <w:r>
        <w:rPr>
          <w:rFonts w:hint="eastAsia" w:ascii="仿宋_GB2312" w:hAnsi="仿宋" w:eastAsia="仿宋_GB2312" w:cs="仿宋"/>
          <w:spacing w:val="-7"/>
          <w:sz w:val="28"/>
          <w:szCs w:val="28"/>
        </w:rPr>
        <w:t>服务”，采购编码为“</w:t>
      </w:r>
      <w:r>
        <w:rPr>
          <w:rFonts w:hint="eastAsia" w:ascii="仿宋_GB2312" w:hAnsi="仿宋" w:eastAsia="仿宋_GB2312" w:cs="仿宋"/>
          <w:spacing w:val="-7"/>
          <w:sz w:val="28"/>
          <w:szCs w:val="28"/>
          <w:lang w:val="en-US" w:eastAsia="zh-CN"/>
        </w:rPr>
        <w:t>C23120302</w:t>
      </w:r>
      <w:r>
        <w:rPr>
          <w:rFonts w:hint="eastAsia" w:ascii="仿宋_GB2312" w:hAnsi="仿宋" w:eastAsia="仿宋_GB2312" w:cs="仿宋"/>
          <w:spacing w:val="-7"/>
          <w:sz w:val="28"/>
          <w:szCs w:val="28"/>
        </w:rPr>
        <w:t>”。采购计划生成后自动导入网上商城，采购人可在框采专区后台左侧列表中【计划管理】-【我的计划】中查找。</w:t>
      </w:r>
      <w:r>
        <w:rPr>
          <w:rFonts w:hint="eastAsia" w:ascii="仿宋_GB2312" w:hAnsi="仿宋" w:eastAsia="仿宋_GB2312" w:cs="仿宋"/>
          <w:spacing w:val="-7"/>
          <w:sz w:val="28"/>
          <w:szCs w:val="28"/>
          <w:lang w:val="en-US" w:eastAsia="zh-CN"/>
        </w:rPr>
        <w:drawing>
          <wp:inline distT="0" distB="0" distL="114300" distR="114300">
            <wp:extent cx="5267960" cy="2552700"/>
            <wp:effectExtent l="0" t="0" r="2540" b="3175"/>
            <wp:docPr id="1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4"/>
                    <pic:cNvPicPr>
                      <a:picLocks noChangeAspect="1"/>
                    </pic:cNvPicPr>
                  </pic:nvPicPr>
                  <pic:blipFill>
                    <a:blip r:embed="rId11"/>
                    <a:stretch>
                      <a:fillRect/>
                    </a:stretch>
                  </pic:blipFill>
                  <pic:spPr>
                    <a:xfrm>
                      <a:off x="0" y="0"/>
                      <a:ext cx="5267960" cy="2552700"/>
                    </a:xfrm>
                    <a:prstGeom prst="rect">
                      <a:avLst/>
                    </a:prstGeom>
                    <a:noFill/>
                    <a:ln>
                      <a:noFill/>
                    </a:ln>
                  </pic:spPr>
                </pic:pic>
              </a:graphicData>
            </a:graphic>
          </wp:inline>
        </w:drawing>
      </w:r>
    </w:p>
    <w:p>
      <w:pPr>
        <w:pStyle w:val="12"/>
        <w:numPr>
          <w:ilvl w:val="0"/>
          <w:numId w:val="0"/>
        </w:numPr>
        <w:bidi w:val="0"/>
        <w:ind w:firstLine="562" w:firstLineChars="200"/>
        <w:rPr>
          <w:rFonts w:hint="default" w:ascii="仿宋_GB2312" w:hAnsi="仿宋" w:eastAsia="仿宋_GB2312" w:cs="仿宋"/>
          <w:b/>
          <w:bCs/>
          <w:kern w:val="2"/>
          <w:sz w:val="28"/>
          <w:szCs w:val="28"/>
          <w:lang w:val="en-US" w:eastAsia="zh-CN" w:bidi="ar-SA"/>
        </w:rPr>
      </w:pPr>
      <w:bookmarkStart w:id="26" w:name="_Toc4520"/>
      <w:r>
        <w:rPr>
          <w:rFonts w:hint="eastAsia" w:ascii="仿宋_GB2312" w:hAnsi="仿宋" w:eastAsia="仿宋_GB2312" w:cs="仿宋"/>
          <w:b/>
          <w:bCs/>
          <w:kern w:val="2"/>
          <w:sz w:val="28"/>
          <w:szCs w:val="28"/>
          <w:lang w:val="en-US" w:eastAsia="zh-CN" w:bidi="ar-SA"/>
        </w:rPr>
        <w:t>3.登记加油主卡</w:t>
      </w:r>
      <w:bookmarkEnd w:id="26"/>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t>车辆</w:t>
      </w:r>
      <w:r>
        <w:rPr>
          <w:rFonts w:hint="eastAsia" w:ascii="仿宋_GB2312" w:hAnsi="仿宋" w:eastAsia="仿宋_GB2312" w:cs="仿宋"/>
          <w:spacing w:val="-7"/>
          <w:sz w:val="28"/>
          <w:szCs w:val="28"/>
          <w:lang w:val="en-US" w:eastAsia="zh-CN"/>
        </w:rPr>
        <w:t>加油服务</w:t>
      </w:r>
      <w:r>
        <w:rPr>
          <w:rFonts w:hint="eastAsia" w:ascii="仿宋_GB2312" w:hAnsi="仿宋" w:eastAsia="仿宋_GB2312" w:cs="仿宋"/>
          <w:spacing w:val="-7"/>
          <w:sz w:val="28"/>
          <w:szCs w:val="28"/>
        </w:rPr>
        <w:t>采购前，采购人</w:t>
      </w:r>
      <w:r>
        <w:rPr>
          <w:rFonts w:hint="eastAsia" w:ascii="仿宋_GB2312" w:hAnsi="仿宋" w:eastAsia="仿宋_GB2312" w:cs="仿宋"/>
          <w:spacing w:val="-7"/>
          <w:sz w:val="28"/>
          <w:szCs w:val="28"/>
          <w:lang w:val="en-US" w:eastAsia="zh-CN"/>
        </w:rPr>
        <w:t xml:space="preserve">在网上商城框采专区【框采服务管理】-【采购人主卡管理】中登记加油主卡信息。若采购人没有入围供应商名下的加油主卡，需线下到供应商网点办理加油主卡。 </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drawing>
          <wp:inline distT="0" distB="0" distL="114300" distR="114300">
            <wp:extent cx="5266690" cy="2765425"/>
            <wp:effectExtent l="0" t="0" r="3810" b="12700"/>
            <wp:docPr id="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5"/>
                    <pic:cNvPicPr>
                      <a:picLocks noChangeAspect="1"/>
                    </pic:cNvPicPr>
                  </pic:nvPicPr>
                  <pic:blipFill>
                    <a:blip r:embed="rId12"/>
                    <a:stretch>
                      <a:fillRect/>
                    </a:stretch>
                  </pic:blipFill>
                  <pic:spPr>
                    <a:xfrm>
                      <a:off x="0" y="0"/>
                      <a:ext cx="5266690" cy="276542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点击【登记主卡】，录入主卡信息。采购人在一家供应商名下只能申请一张主卡。</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drawing>
          <wp:inline distT="0" distB="0" distL="114300" distR="114300">
            <wp:extent cx="5266690" cy="2765425"/>
            <wp:effectExtent l="0" t="0" r="3810" b="12700"/>
            <wp:docPr id="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6"/>
                    <pic:cNvPicPr>
                      <a:picLocks noChangeAspect="1"/>
                    </pic:cNvPicPr>
                  </pic:nvPicPr>
                  <pic:blipFill>
                    <a:blip r:embed="rId13"/>
                    <a:stretch>
                      <a:fillRect/>
                    </a:stretch>
                  </pic:blipFill>
                  <pic:spPr>
                    <a:xfrm>
                      <a:off x="0" y="0"/>
                      <a:ext cx="5266690" cy="2765425"/>
                    </a:xfrm>
                    <a:prstGeom prst="rect">
                      <a:avLst/>
                    </a:prstGeom>
                    <a:noFill/>
                    <a:ln>
                      <a:noFill/>
                    </a:ln>
                  </pic:spPr>
                </pic:pic>
              </a:graphicData>
            </a:graphic>
          </wp:inline>
        </w:drawing>
      </w:r>
    </w:p>
    <w:p>
      <w:pPr>
        <w:ind w:firstLine="480"/>
        <w:jc w:val="left"/>
        <w:rPr>
          <w:rFonts w:hint="default"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选择供应商，输入供应商名称进行查询并选择。</w:t>
      </w:r>
    </w:p>
    <w:p>
      <w:pPr>
        <w:ind w:firstLine="480"/>
        <w:jc w:val="left"/>
        <w:rPr>
          <w:rFonts w:hint="default"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drawing>
          <wp:inline distT="0" distB="0" distL="114300" distR="114300">
            <wp:extent cx="5267960" cy="2409825"/>
            <wp:effectExtent l="0" t="0" r="2540" b="3175"/>
            <wp:docPr id="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7"/>
                    <pic:cNvPicPr>
                      <a:picLocks noChangeAspect="1"/>
                    </pic:cNvPicPr>
                  </pic:nvPicPr>
                  <pic:blipFill>
                    <a:blip r:embed="rId14"/>
                    <a:stretch>
                      <a:fillRect/>
                    </a:stretch>
                  </pic:blipFill>
                  <pic:spPr>
                    <a:xfrm>
                      <a:off x="0" y="0"/>
                      <a:ext cx="5267960" cy="2409825"/>
                    </a:xfrm>
                    <a:prstGeom prst="rect">
                      <a:avLst/>
                    </a:prstGeom>
                    <a:noFill/>
                    <a:ln>
                      <a:noFill/>
                    </a:ln>
                  </pic:spPr>
                </pic:pic>
              </a:graphicData>
            </a:graphic>
          </wp:inline>
        </w:drawing>
      </w:r>
    </w:p>
    <w:p>
      <w:pPr>
        <w:pStyle w:val="12"/>
        <w:numPr>
          <w:ilvl w:val="0"/>
          <w:numId w:val="0"/>
        </w:numPr>
        <w:bidi w:val="0"/>
        <w:ind w:firstLine="562" w:firstLineChars="200"/>
        <w:rPr>
          <w:rFonts w:hint="default" w:ascii="仿宋_GB2312" w:hAnsi="仿宋" w:eastAsia="仿宋_GB2312" w:cs="仿宋"/>
          <w:b/>
          <w:bCs/>
          <w:kern w:val="2"/>
          <w:sz w:val="28"/>
          <w:szCs w:val="28"/>
          <w:lang w:val="en-US" w:eastAsia="zh-CN" w:bidi="ar-SA"/>
        </w:rPr>
      </w:pPr>
      <w:bookmarkStart w:id="27" w:name="_Toc2472"/>
      <w:r>
        <w:rPr>
          <w:rFonts w:hint="eastAsia" w:ascii="仿宋_GB2312" w:hAnsi="仿宋" w:eastAsia="仿宋_GB2312" w:cs="仿宋"/>
          <w:b/>
          <w:bCs/>
          <w:kern w:val="2"/>
          <w:sz w:val="28"/>
          <w:szCs w:val="28"/>
          <w:lang w:val="en-US" w:eastAsia="zh-CN" w:bidi="ar-SA"/>
        </w:rPr>
        <w:t>4.发布项目</w:t>
      </w:r>
      <w:bookmarkEnd w:id="27"/>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t>采购人点击</w:t>
      </w:r>
      <w:r>
        <w:rPr>
          <w:rFonts w:hint="eastAsia" w:ascii="仿宋_GB2312" w:hAnsi="仿宋" w:eastAsia="仿宋_GB2312" w:cs="仿宋"/>
          <w:spacing w:val="-7"/>
          <w:sz w:val="28"/>
          <w:szCs w:val="28"/>
          <w:lang w:eastAsia="zh-CN"/>
        </w:rPr>
        <w:t>【</w:t>
      </w:r>
      <w:r>
        <w:rPr>
          <w:rFonts w:hint="eastAsia" w:ascii="仿宋_GB2312" w:hAnsi="仿宋" w:eastAsia="仿宋_GB2312" w:cs="仿宋"/>
          <w:spacing w:val="-7"/>
          <w:sz w:val="28"/>
          <w:szCs w:val="28"/>
          <w:lang w:val="en-US" w:eastAsia="zh-CN"/>
        </w:rPr>
        <w:t>框采首页</w:t>
      </w:r>
      <w:r>
        <w:rPr>
          <w:rFonts w:hint="eastAsia" w:ascii="仿宋_GB2312" w:hAnsi="仿宋" w:eastAsia="仿宋_GB2312" w:cs="仿宋"/>
          <w:spacing w:val="-7"/>
          <w:sz w:val="28"/>
          <w:szCs w:val="28"/>
          <w:lang w:eastAsia="zh-CN"/>
        </w:rPr>
        <w:t>】，</w:t>
      </w:r>
      <w:r>
        <w:rPr>
          <w:rFonts w:hint="eastAsia" w:ascii="仿宋_GB2312" w:hAnsi="仿宋" w:eastAsia="仿宋_GB2312" w:cs="仿宋"/>
          <w:spacing w:val="-7"/>
          <w:sz w:val="28"/>
          <w:szCs w:val="28"/>
          <w:lang w:val="en-US" w:eastAsia="zh-CN"/>
        </w:rPr>
        <w:t>可进入框采专区首页，点击</w:t>
      </w:r>
      <w:r>
        <w:rPr>
          <w:rFonts w:hint="eastAsia" w:ascii="仿宋_GB2312" w:hAnsi="仿宋" w:eastAsia="仿宋_GB2312" w:cs="仿宋"/>
          <w:spacing w:val="-7"/>
          <w:sz w:val="28"/>
          <w:szCs w:val="28"/>
        </w:rPr>
        <w:t>框采专区首页导航栏的【入围服务库】，选择采购品目【车辆</w:t>
      </w:r>
      <w:r>
        <w:rPr>
          <w:rFonts w:hint="eastAsia" w:ascii="仿宋_GB2312" w:hAnsi="仿宋" w:eastAsia="仿宋_GB2312" w:cs="仿宋"/>
          <w:spacing w:val="-7"/>
          <w:sz w:val="28"/>
          <w:szCs w:val="28"/>
          <w:lang w:val="en-US" w:eastAsia="zh-CN"/>
        </w:rPr>
        <w:t>加油</w:t>
      </w:r>
      <w:r>
        <w:rPr>
          <w:rFonts w:hint="eastAsia" w:ascii="仿宋_GB2312" w:hAnsi="仿宋" w:eastAsia="仿宋_GB2312" w:cs="仿宋"/>
          <w:spacing w:val="-7"/>
          <w:sz w:val="28"/>
          <w:szCs w:val="28"/>
        </w:rPr>
        <w:t>服务】。</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6690" cy="1849120"/>
            <wp:effectExtent l="0" t="0" r="3810" b="825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15"/>
                    <a:stretch>
                      <a:fillRect/>
                    </a:stretch>
                  </pic:blipFill>
                  <pic:spPr>
                    <a:xfrm>
                      <a:off x="0" y="0"/>
                      <a:ext cx="5266690" cy="1849120"/>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6690" cy="2082165"/>
            <wp:effectExtent l="0" t="0" r="3810" b="133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6"/>
                    <a:stretch>
                      <a:fillRect/>
                    </a:stretch>
                  </pic:blipFill>
                  <pic:spPr>
                    <a:xfrm>
                      <a:off x="0" y="0"/>
                      <a:ext cx="5266690" cy="2082165"/>
                    </a:xfrm>
                    <a:prstGeom prst="rect">
                      <a:avLst/>
                    </a:prstGeom>
                    <a:noFill/>
                    <a:ln>
                      <a:noFill/>
                    </a:ln>
                  </pic:spPr>
                </pic:pic>
              </a:graphicData>
            </a:graphic>
          </wp:inline>
        </w:drawing>
      </w:r>
    </w:p>
    <w:p>
      <w:pPr>
        <w:ind w:firstLine="480"/>
        <w:jc w:val="left"/>
        <w:rPr>
          <w:rFonts w:hint="default"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点击【是否我可购买产品】，</w:t>
      </w:r>
      <w:r>
        <w:rPr>
          <w:rFonts w:hint="eastAsia" w:ascii="仿宋_GB2312" w:hAnsi="仿宋" w:eastAsia="仿宋_GB2312" w:cs="仿宋"/>
          <w:spacing w:val="-7"/>
          <w:sz w:val="28"/>
          <w:szCs w:val="28"/>
        </w:rPr>
        <w:t>筛选当前采购人可以采购的车辆保险入围供应商</w:t>
      </w:r>
      <w:r>
        <w:rPr>
          <w:rFonts w:hint="eastAsia" w:ascii="仿宋_GB2312" w:hAnsi="仿宋" w:eastAsia="仿宋_GB2312" w:cs="仿宋"/>
          <w:spacing w:val="-7"/>
          <w:sz w:val="28"/>
          <w:szCs w:val="28"/>
          <w:lang w:val="en-US" w:eastAsia="zh-CN"/>
        </w:rPr>
        <w:t>。</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drawing>
          <wp:inline distT="0" distB="0" distL="114300" distR="114300">
            <wp:extent cx="5266690" cy="2882265"/>
            <wp:effectExtent l="0" t="0" r="3810" b="6985"/>
            <wp:docPr id="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9"/>
                    <pic:cNvPicPr>
                      <a:picLocks noChangeAspect="1"/>
                    </pic:cNvPicPr>
                  </pic:nvPicPr>
                  <pic:blipFill>
                    <a:blip r:embed="rId17"/>
                    <a:stretch>
                      <a:fillRect/>
                    </a:stretch>
                  </pic:blipFill>
                  <pic:spPr>
                    <a:xfrm>
                      <a:off x="0" y="0"/>
                      <a:ext cx="5266690" cy="288226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rPr>
        <w:t>采购人点击供应商LOGO图片，进入供应商详情页，在可选协议中，查看供应商所有框采</w:t>
      </w:r>
      <w:r>
        <w:rPr>
          <w:rFonts w:hint="eastAsia" w:ascii="仿宋_GB2312" w:hAnsi="仿宋" w:eastAsia="仿宋_GB2312" w:cs="仿宋"/>
          <w:spacing w:val="-7"/>
          <w:sz w:val="28"/>
          <w:szCs w:val="28"/>
          <w:lang w:val="en-US" w:eastAsia="zh-CN"/>
        </w:rPr>
        <w:t>加油</w:t>
      </w:r>
      <w:r>
        <w:rPr>
          <w:rFonts w:hint="eastAsia" w:ascii="仿宋_GB2312" w:hAnsi="仿宋" w:eastAsia="仿宋_GB2312" w:cs="仿宋"/>
          <w:spacing w:val="-7"/>
          <w:sz w:val="28"/>
          <w:szCs w:val="28"/>
        </w:rPr>
        <w:t>入围协议，选中适用采购人的协议。</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drawing>
          <wp:inline distT="0" distB="0" distL="114300" distR="114300">
            <wp:extent cx="5271135" cy="2903855"/>
            <wp:effectExtent l="0" t="0" r="15240" b="1270"/>
            <wp:docPr id="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0"/>
                    <pic:cNvPicPr>
                      <a:picLocks noChangeAspect="1"/>
                    </pic:cNvPicPr>
                  </pic:nvPicPr>
                  <pic:blipFill>
                    <a:blip r:embed="rId18"/>
                    <a:stretch>
                      <a:fillRect/>
                    </a:stretch>
                  </pic:blipFill>
                  <pic:spPr>
                    <a:xfrm>
                      <a:off x="0" y="0"/>
                      <a:ext cx="5271135" cy="290385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drawing>
          <wp:inline distT="0" distB="0" distL="114300" distR="114300">
            <wp:extent cx="5266690" cy="2882265"/>
            <wp:effectExtent l="0" t="0" r="3810" b="6985"/>
            <wp:docPr id="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1"/>
                    <pic:cNvPicPr>
                      <a:picLocks noChangeAspect="1"/>
                    </pic:cNvPicPr>
                  </pic:nvPicPr>
                  <pic:blipFill>
                    <a:blip r:embed="rId19"/>
                    <a:stretch>
                      <a:fillRect/>
                    </a:stretch>
                  </pic:blipFill>
                  <pic:spPr>
                    <a:xfrm>
                      <a:off x="0" y="0"/>
                      <a:ext cx="5266690" cy="288226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服务规格】展示供应商服务内容及报价详情，【服务介绍】展示公司介绍、服务承诺、资质资格等信息，【服务区域】展示供应商的经营地址，【成交记录】展示历史最低成交价格、历史平均成交价格以及近三个月的最低成交价格和平均成交价格。</w:t>
      </w:r>
    </w:p>
    <w:p>
      <w:pPr>
        <w:ind w:firstLine="480"/>
        <w:jc w:val="left"/>
        <w:rPr>
          <w:rFonts w:hint="default"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6690" cy="2597785"/>
            <wp:effectExtent l="0" t="0" r="3810" b="5715"/>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0"/>
                    <a:stretch>
                      <a:fillRect/>
                    </a:stretch>
                  </pic:blipFill>
                  <pic:spPr>
                    <a:xfrm>
                      <a:off x="0" y="0"/>
                      <a:ext cx="5266690" cy="2597785"/>
                    </a:xfrm>
                    <a:prstGeom prst="rect">
                      <a:avLst/>
                    </a:prstGeom>
                    <a:noFill/>
                    <a:ln>
                      <a:noFill/>
                    </a:ln>
                  </pic:spPr>
                </pic:pic>
              </a:graphicData>
            </a:graphic>
          </wp:inline>
        </w:drawing>
      </w:r>
    </w:p>
    <w:p>
      <w:pPr>
        <w:ind w:firstLine="532" w:firstLineChars="20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点击【直接选定】，跳转到框采二阶段新建项目界面。</w:t>
      </w:r>
      <w:r>
        <w:rPr>
          <w:rFonts w:hint="eastAsia" w:ascii="仿宋_GB2312" w:hAnsi="仿宋" w:eastAsia="仿宋_GB2312" w:cs="仿宋"/>
          <w:spacing w:val="-7"/>
          <w:sz w:val="28"/>
          <w:szCs w:val="28"/>
        </w:rPr>
        <w:t>采购人在新建项目界面录入本次采购需求信息，其中，项目基本信息中的【服务地址】可在【个人信息】中进行修改或新增。点击【选择计划】，计划列表中显示所有预算管理一体化系统导入的采购计划，选择本项目适用的采购计划。</w:t>
      </w:r>
      <w:r>
        <w:rPr>
          <w:rFonts w:hint="eastAsia" w:ascii="仿宋_GB2312" w:hAnsi="仿宋" w:eastAsia="仿宋_GB2312" w:cs="仿宋"/>
          <w:spacing w:val="-7"/>
          <w:sz w:val="28"/>
          <w:szCs w:val="28"/>
          <w:lang w:val="en-US" w:eastAsia="zh-CN"/>
        </w:rPr>
        <w:t>支付方式可选择【一次性支付】或【分期付款】，</w:t>
      </w:r>
      <w:r>
        <w:rPr>
          <w:rFonts w:hint="eastAsia" w:ascii="仿宋_GB2312" w:hAnsi="仿宋" w:eastAsia="仿宋_GB2312" w:cs="仿宋"/>
          <w:spacing w:val="-7"/>
          <w:sz w:val="28"/>
          <w:szCs w:val="28"/>
        </w:rPr>
        <w:t>并录入具体支付要求。</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drawing>
          <wp:inline distT="0" distB="0" distL="114300" distR="114300">
            <wp:extent cx="5266690" cy="2882265"/>
            <wp:effectExtent l="0" t="0" r="3810" b="6985"/>
            <wp:docPr id="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3"/>
                    <pic:cNvPicPr>
                      <a:picLocks noChangeAspect="1"/>
                    </pic:cNvPicPr>
                  </pic:nvPicPr>
                  <pic:blipFill>
                    <a:blip r:embed="rId21"/>
                    <a:stretch>
                      <a:fillRect/>
                    </a:stretch>
                  </pic:blipFill>
                  <pic:spPr>
                    <a:xfrm>
                      <a:off x="0" y="0"/>
                      <a:ext cx="5266690" cy="2882265"/>
                    </a:xfrm>
                    <a:prstGeom prst="rect">
                      <a:avLst/>
                    </a:prstGeom>
                    <a:noFill/>
                    <a:ln>
                      <a:noFill/>
                    </a:ln>
                  </pic:spPr>
                </pic:pic>
              </a:graphicData>
            </a:graphic>
          </wp:inline>
        </w:drawing>
      </w:r>
    </w:p>
    <w:p>
      <w:pPr>
        <w:ind w:firstLine="480"/>
        <w:jc w:val="left"/>
        <w:rPr>
          <w:rFonts w:hint="default"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在采购需求环节，选择该供应商支持的【加油优惠方式】。此操作是对</w:t>
      </w:r>
      <w:r>
        <w:rPr>
          <w:rFonts w:hint="default" w:ascii="仿宋_GB2312" w:hAnsi="仿宋" w:eastAsia="仿宋_GB2312" w:cs="仿宋"/>
          <w:spacing w:val="-7"/>
          <w:sz w:val="28"/>
          <w:szCs w:val="28"/>
          <w:lang w:val="en-US" w:eastAsia="zh-CN"/>
        </w:rPr>
        <w:t>该加油公司办理的主卡进行充值，实际充值金额即是本项目采购成交金额。充值后再向副卡分配资金使用，采购人持副卡在加油公司任意站点加油消费。</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6690" cy="2597785"/>
            <wp:effectExtent l="0" t="0" r="3810" b="57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22"/>
                    <a:stretch>
                      <a:fillRect/>
                    </a:stretch>
                  </pic:blipFill>
                  <pic:spPr>
                    <a:xfrm>
                      <a:off x="0" y="0"/>
                      <a:ext cx="5266690" cy="2597785"/>
                    </a:xfrm>
                    <a:prstGeom prst="rect">
                      <a:avLst/>
                    </a:prstGeom>
                    <a:noFill/>
                    <a:ln>
                      <a:noFill/>
                    </a:ln>
                  </pic:spPr>
                </pic:pic>
              </a:graphicData>
            </a:graphic>
          </wp:inline>
        </w:drawing>
      </w:r>
    </w:p>
    <w:p>
      <w:pPr>
        <w:ind w:firstLine="480"/>
        <w:jc w:val="left"/>
        <w:rPr>
          <w:rFonts w:hint="default"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在充值信息处选择本次充值的加油主卡卡号，填写充值人、充值人联系方式等信息。优惠率自动带入该供应商框架协议一阶段征集入围的响应优惠率。</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6690" cy="2597785"/>
            <wp:effectExtent l="0" t="0" r="3810" b="5715"/>
            <wp:docPr id="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pic:cNvPicPr>
                      <a:picLocks noChangeAspect="1"/>
                    </pic:cNvPicPr>
                  </pic:nvPicPr>
                  <pic:blipFill>
                    <a:blip r:embed="rId23"/>
                    <a:stretch>
                      <a:fillRect/>
                    </a:stretch>
                  </pic:blipFill>
                  <pic:spPr>
                    <a:xfrm>
                      <a:off x="0" y="0"/>
                      <a:ext cx="5266690" cy="259778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若本项目有其他采购需求，可在【服务需求】文本框录入；若没有要求，可不填写。</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6690" cy="2597785"/>
            <wp:effectExtent l="0" t="0" r="3810" b="5715"/>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24"/>
                    <a:stretch>
                      <a:fillRect/>
                    </a:stretch>
                  </pic:blipFill>
                  <pic:spPr>
                    <a:xfrm>
                      <a:off x="0" y="0"/>
                      <a:ext cx="5266690" cy="259778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在发票信息处，可以新增、修改采购人的发票信息。</w:t>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66690" cy="2597785"/>
            <wp:effectExtent l="0" t="0" r="3810" b="5715"/>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5"/>
                    <a:stretch>
                      <a:fillRect/>
                    </a:stretch>
                  </pic:blipFill>
                  <pic:spPr>
                    <a:xfrm>
                      <a:off x="0" y="0"/>
                      <a:ext cx="5266690" cy="2597785"/>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lang w:val="en-US" w:eastAsia="zh-CN"/>
        </w:rPr>
        <w:t>项目信息填写完成后，点击【发布项目】。</w:t>
      </w:r>
    </w:p>
    <w:p>
      <w:pPr>
        <w:pStyle w:val="12"/>
        <w:numPr>
          <w:ilvl w:val="0"/>
          <w:numId w:val="0"/>
        </w:numPr>
        <w:bidi w:val="0"/>
        <w:ind w:firstLine="562" w:firstLineChars="200"/>
        <w:rPr>
          <w:rFonts w:hint="eastAsia" w:ascii="仿宋_GB2312" w:hAnsi="仿宋" w:eastAsia="仿宋_GB2312" w:cs="仿宋"/>
          <w:b/>
          <w:bCs/>
          <w:kern w:val="2"/>
          <w:sz w:val="28"/>
          <w:szCs w:val="28"/>
          <w:lang w:val="en-US" w:eastAsia="zh-CN" w:bidi="ar-SA"/>
        </w:rPr>
      </w:pPr>
      <w:bookmarkStart w:id="28" w:name="_Toc19846"/>
      <w:r>
        <w:rPr>
          <w:rFonts w:hint="eastAsia" w:ascii="仿宋_GB2312" w:hAnsi="仿宋" w:eastAsia="仿宋_GB2312" w:cs="仿宋"/>
          <w:b/>
          <w:bCs/>
          <w:kern w:val="2"/>
          <w:sz w:val="28"/>
          <w:szCs w:val="28"/>
          <w:lang w:val="en-US" w:eastAsia="zh-CN" w:bidi="ar-SA"/>
        </w:rPr>
        <w:t>5.确认成交</w:t>
      </w:r>
      <w:bookmarkEnd w:id="28"/>
    </w:p>
    <w:p>
      <w:pPr>
        <w:ind w:firstLine="532" w:firstLineChars="200"/>
        <w:jc w:val="left"/>
        <w:rPr>
          <w:rFonts w:hint="eastAsia" w:ascii="仿宋_GB2312" w:hAnsi="仿宋" w:eastAsia="仿宋_GB2312" w:cs="仿宋"/>
          <w:spacing w:val="-7"/>
          <w:sz w:val="28"/>
          <w:szCs w:val="28"/>
        </w:rPr>
      </w:pPr>
      <w:r>
        <w:rPr>
          <w:rFonts w:hint="eastAsia" w:ascii="仿宋_GB2312" w:hAnsi="仿宋" w:eastAsia="仿宋_GB2312" w:cs="仿宋"/>
          <w:spacing w:val="-7"/>
          <w:sz w:val="28"/>
          <w:szCs w:val="28"/>
          <w:lang w:val="en-US" w:eastAsia="zh-CN"/>
        </w:rPr>
        <w:t>直接选定的车辆加油供应商可接收到项目信息，并确认采购人录入的充值信息，此环节供应商不可对采购人录入的充值信息进行修改编辑。供应商确认后项目即成交。</w:t>
      </w:r>
      <w:r>
        <w:rPr>
          <w:rFonts w:hint="eastAsia" w:ascii="仿宋_GB2312" w:hAnsi="仿宋" w:eastAsia="仿宋_GB2312" w:cs="仿宋"/>
          <w:spacing w:val="-7"/>
          <w:sz w:val="28"/>
          <w:szCs w:val="28"/>
        </w:rPr>
        <w:t>成交</w:t>
      </w:r>
      <w:r>
        <w:rPr>
          <w:rFonts w:hint="eastAsia" w:ascii="仿宋_GB2312" w:hAnsi="仿宋" w:eastAsia="仿宋_GB2312" w:cs="仿宋"/>
          <w:spacing w:val="-7"/>
          <w:sz w:val="28"/>
          <w:szCs w:val="28"/>
          <w:lang w:val="en-US" w:eastAsia="zh-CN"/>
        </w:rPr>
        <w:t>信息</w:t>
      </w:r>
      <w:r>
        <w:rPr>
          <w:rFonts w:hint="eastAsia" w:ascii="仿宋_GB2312" w:hAnsi="仿宋" w:eastAsia="仿宋_GB2312" w:cs="仿宋"/>
          <w:spacing w:val="-7"/>
          <w:sz w:val="28"/>
          <w:szCs w:val="28"/>
        </w:rPr>
        <w:t>自动导入预算管理一体化系统，采购人登录预算管理一体化系统生成采购凭证，按约定支付</w:t>
      </w:r>
      <w:r>
        <w:rPr>
          <w:rFonts w:hint="eastAsia" w:ascii="仿宋_GB2312" w:hAnsi="仿宋" w:eastAsia="仿宋_GB2312" w:cs="仿宋"/>
          <w:spacing w:val="-7"/>
          <w:sz w:val="28"/>
          <w:szCs w:val="28"/>
          <w:lang w:val="en-US" w:eastAsia="zh-CN"/>
        </w:rPr>
        <w:t>充值资金</w:t>
      </w:r>
      <w:r>
        <w:rPr>
          <w:rFonts w:hint="eastAsia" w:ascii="仿宋_GB2312" w:hAnsi="仿宋" w:eastAsia="仿宋_GB2312" w:cs="仿宋"/>
          <w:spacing w:val="-7"/>
          <w:sz w:val="28"/>
          <w:szCs w:val="28"/>
        </w:rPr>
        <w:t>。</w:t>
      </w:r>
    </w:p>
    <w:p>
      <w:pPr>
        <w:numPr>
          <w:ilvl w:val="0"/>
          <w:numId w:val="0"/>
        </w:numPr>
        <w:ind w:firstLine="532" w:firstLineChars="200"/>
        <w:jc w:val="left"/>
        <w:rPr>
          <w:rFonts w:hint="eastAsia" w:ascii="仿宋_GB2312" w:hAnsi="仿宋" w:eastAsia="仿宋_GB2312" w:cs="仿宋"/>
          <w:spacing w:val="-7"/>
          <w:sz w:val="28"/>
          <w:szCs w:val="28"/>
          <w:lang w:val="en-US" w:eastAsia="zh-CN"/>
        </w:rPr>
      </w:pPr>
      <w:r>
        <w:rPr>
          <w:rFonts w:hint="eastAsia" w:ascii="仿宋_GB2312" w:hAnsi="仿宋" w:eastAsia="仿宋_GB2312" w:cs="仿宋"/>
          <w:spacing w:val="-7"/>
          <w:sz w:val="28"/>
          <w:szCs w:val="28"/>
        </w:rPr>
        <w:drawing>
          <wp:inline distT="0" distB="0" distL="114300" distR="114300">
            <wp:extent cx="5271770" cy="2698750"/>
            <wp:effectExtent l="0" t="0" r="14605" b="0"/>
            <wp:docPr id="1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pic:cNvPicPr>
                      <a:picLocks noChangeAspect="1"/>
                    </pic:cNvPicPr>
                  </pic:nvPicPr>
                  <pic:blipFill>
                    <a:blip r:embed="rId26"/>
                    <a:stretch>
                      <a:fillRect/>
                    </a:stretch>
                  </pic:blipFill>
                  <pic:spPr>
                    <a:xfrm>
                      <a:off x="0" y="0"/>
                      <a:ext cx="5271770" cy="2698750"/>
                    </a:xfrm>
                    <a:prstGeom prst="rect">
                      <a:avLst/>
                    </a:prstGeom>
                    <a:noFill/>
                    <a:ln>
                      <a:noFill/>
                    </a:ln>
                  </pic:spPr>
                </pic:pic>
              </a:graphicData>
            </a:graphic>
          </wp:inline>
        </w:drawing>
      </w:r>
    </w:p>
    <w:p>
      <w:pPr>
        <w:ind w:firstLine="480"/>
        <w:jc w:val="left"/>
        <w:rPr>
          <w:rFonts w:hint="eastAsia" w:ascii="仿宋_GB2312" w:hAnsi="仿宋" w:eastAsia="仿宋_GB2312" w:cs="仿宋"/>
          <w:spacing w:val="-7"/>
          <w:sz w:val="28"/>
          <w:szCs w:val="28"/>
        </w:rPr>
      </w:pPr>
    </w:p>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10601030101010101"/>
    <w:charset w:val="86"/>
    <w:family w:val="auto"/>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Calibri Light">
    <w:panose1 w:val="020F0302020204030204"/>
    <w:charset w:val="00"/>
    <w:family w:val="auto"/>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BD8135"/>
    <w:multiLevelType w:val="singleLevel"/>
    <w:tmpl w:val="D8BD8135"/>
    <w:lvl w:ilvl="0" w:tentative="0">
      <w:start w:val="1"/>
      <w:numFmt w:val="chineseCounting"/>
      <w:pStyle w:val="12"/>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4Y2MzZThkNjRhNWQ2OGJmMzhlOTliMjdiNGJlZmUifQ=="/>
  </w:docVars>
  <w:rsids>
    <w:rsidRoot w:val="5DF449E4"/>
    <w:rsid w:val="08DB1CC6"/>
    <w:rsid w:val="0A6406DD"/>
    <w:rsid w:val="29B246B7"/>
    <w:rsid w:val="300C1808"/>
    <w:rsid w:val="35A40A0D"/>
    <w:rsid w:val="3C0D56E1"/>
    <w:rsid w:val="3C54171B"/>
    <w:rsid w:val="3C6A79D8"/>
    <w:rsid w:val="43DF04D7"/>
    <w:rsid w:val="44873867"/>
    <w:rsid w:val="48195164"/>
    <w:rsid w:val="5DF449E4"/>
    <w:rsid w:val="64441204"/>
    <w:rsid w:val="6A3F008C"/>
    <w:rsid w:val="70620090"/>
    <w:rsid w:val="776F75F3"/>
    <w:rsid w:val="78553F37"/>
    <w:rsid w:val="7EE34A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0"/>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Title"/>
    <w:basedOn w:val="1"/>
    <w:qFormat/>
    <w:uiPriority w:val="0"/>
    <w:pPr>
      <w:spacing w:before="240" w:beforeLines="0" w:beforeAutospacing="0" w:after="60" w:afterLines="0" w:afterAutospacing="0"/>
      <w:jc w:val="center"/>
      <w:outlineLvl w:val="0"/>
    </w:pPr>
    <w:rPr>
      <w:rFonts w:ascii="Arial" w:hAnsi="Arial"/>
      <w:b/>
      <w:sz w:val="32"/>
    </w:rPr>
  </w:style>
  <w:style w:type="character" w:styleId="11">
    <w:name w:val="Hyperlink"/>
    <w:basedOn w:val="10"/>
    <w:qFormat/>
    <w:uiPriority w:val="0"/>
    <w:rPr>
      <w:color w:val="0000FF"/>
      <w:u w:val="single"/>
    </w:rPr>
  </w:style>
  <w:style w:type="paragraph" w:customStyle="1" w:styleId="12">
    <w:name w:val="样式1"/>
    <w:basedOn w:val="8"/>
    <w:qFormat/>
    <w:uiPriority w:val="0"/>
    <w:pPr>
      <w:numPr>
        <w:ilvl w:val="0"/>
        <w:numId w:val="1"/>
      </w:numPr>
      <w:jc w:val="left"/>
    </w:pPr>
    <w:rPr>
      <w:rFonts w:ascii="Calibri" w:hAnsi="Calibri"/>
      <w:sz w:val="28"/>
    </w:rPr>
  </w:style>
  <w:style w:type="paragraph" w:customStyle="1" w:styleId="13">
    <w:name w:val="WPSOffice手动目录 1"/>
    <w:qFormat/>
    <w:uiPriority w:val="0"/>
    <w:pPr>
      <w:ind w:leftChars="0"/>
    </w:pPr>
    <w:rPr>
      <w:rFonts w:asciiTheme="minorHAnsi" w:hAnsiTheme="minorHAnsi" w:eastAsiaTheme="minorEastAsia" w:cstheme="minorBidi"/>
      <w:sz w:val="20"/>
      <w:szCs w:val="20"/>
    </w:rPr>
  </w:style>
  <w:style w:type="paragraph" w:customStyle="1" w:styleId="14">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2647</Words>
  <Characters>2804</Characters>
  <Lines>0</Lines>
  <Paragraphs>0</Paragraphs>
  <TotalTime>2</TotalTime>
  <ScaleCrop>false</ScaleCrop>
  <LinksUpToDate>false</LinksUpToDate>
  <CharactersWithSpaces>2830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2023-04-10T03:04:00Z</dcterms:created>
  <dc:creator>admin</dc:creator>
  <cp:lastModifiedBy>随我</cp:lastModifiedBy>
  <dcterms:modified xsi:type="dcterms:W3CDTF">2023-04-21T01:20:05Z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499A8C32767743E7B1DE3655F5E68661_13</vt:lpwstr>
  </property>
</Properties>
</file>